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C4F7D" w14:textId="2EF054D6" w:rsidR="00220F9D" w:rsidRPr="00EB2EF2" w:rsidRDefault="00220F9D" w:rsidP="001F7188">
      <w:pPr>
        <w:ind w:firstLine="567"/>
        <w:jc w:val="center"/>
        <w:rPr>
          <w:rFonts w:cs="Arial"/>
          <w:b/>
          <w:i/>
          <w:iCs/>
          <w:sz w:val="22"/>
          <w:szCs w:val="22"/>
        </w:rPr>
      </w:pPr>
    </w:p>
    <w:p w14:paraId="5D696D38" w14:textId="77777777" w:rsidR="00EE3988" w:rsidRDefault="00EE3988" w:rsidP="001F7188">
      <w:pPr>
        <w:jc w:val="center"/>
        <w:rPr>
          <w:rFonts w:cs="Arial"/>
          <w:b/>
          <w:i/>
          <w:iCs/>
          <w:sz w:val="22"/>
          <w:szCs w:val="22"/>
        </w:rPr>
      </w:pPr>
    </w:p>
    <w:p w14:paraId="1C7DB260" w14:textId="77777777" w:rsidR="00EE3988" w:rsidRDefault="00EE3988" w:rsidP="001F7188">
      <w:pPr>
        <w:jc w:val="center"/>
        <w:rPr>
          <w:rFonts w:cs="Arial"/>
          <w:b/>
          <w:i/>
          <w:iCs/>
          <w:sz w:val="22"/>
          <w:szCs w:val="22"/>
        </w:rPr>
      </w:pPr>
    </w:p>
    <w:p w14:paraId="0F90A1F0" w14:textId="77777777" w:rsidR="00C075BC" w:rsidRPr="00C075BC" w:rsidRDefault="00C075BC" w:rsidP="00BF2C9A">
      <w:pPr>
        <w:jc w:val="center"/>
        <w:rPr>
          <w:rFonts w:cs="Arial"/>
          <w:b/>
          <w:i/>
          <w:iCs/>
          <w:sz w:val="22"/>
          <w:szCs w:val="22"/>
        </w:rPr>
      </w:pPr>
      <w:r w:rsidRPr="00C075BC">
        <w:rPr>
          <w:rFonts w:cs="Arial"/>
          <w:b/>
          <w:i/>
          <w:iCs/>
          <w:sz w:val="22"/>
          <w:szCs w:val="22"/>
        </w:rPr>
        <w:t>DERECHOS DE LA NATURALEZA Y MINERÍA ILEGAL.</w:t>
      </w:r>
    </w:p>
    <w:p w14:paraId="2F7C6EEA" w14:textId="3AA129C3" w:rsidR="001F7188" w:rsidRDefault="00C075BC" w:rsidP="00BF2C9A">
      <w:pPr>
        <w:jc w:val="center"/>
        <w:rPr>
          <w:rFonts w:cs="Arial"/>
          <w:b/>
          <w:i/>
          <w:iCs/>
          <w:sz w:val="22"/>
          <w:szCs w:val="22"/>
        </w:rPr>
      </w:pPr>
      <w:r w:rsidRPr="00C075BC">
        <w:rPr>
          <w:rFonts w:cs="Arial"/>
          <w:b/>
          <w:i/>
          <w:iCs/>
          <w:sz w:val="22"/>
          <w:szCs w:val="22"/>
        </w:rPr>
        <w:t>UN ANÁLISIS CRÍTICO DE ESTUDIOS PREVIOS.</w:t>
      </w:r>
    </w:p>
    <w:p w14:paraId="522EC84A" w14:textId="77777777" w:rsidR="00C075BC" w:rsidRPr="00EB2EF2" w:rsidRDefault="00C075BC" w:rsidP="00BF2C9A">
      <w:pPr>
        <w:jc w:val="center"/>
        <w:rPr>
          <w:rFonts w:cs="Arial"/>
          <w:i/>
          <w:iCs/>
          <w:color w:val="000000"/>
          <w:sz w:val="22"/>
          <w:szCs w:val="22"/>
        </w:rPr>
      </w:pPr>
    </w:p>
    <w:p w14:paraId="1E5C998D" w14:textId="77777777" w:rsidR="00C075BC" w:rsidRPr="00C075BC" w:rsidRDefault="00C075BC" w:rsidP="00BF2C9A">
      <w:pPr>
        <w:jc w:val="center"/>
        <w:rPr>
          <w:rFonts w:cs="Arial"/>
          <w:i/>
          <w:iCs/>
          <w:color w:val="000000"/>
          <w:sz w:val="22"/>
          <w:szCs w:val="22"/>
        </w:rPr>
      </w:pPr>
      <w:r w:rsidRPr="00C075BC">
        <w:rPr>
          <w:rFonts w:cs="Arial"/>
          <w:i/>
          <w:iCs/>
          <w:color w:val="000000"/>
          <w:sz w:val="22"/>
          <w:szCs w:val="22"/>
        </w:rPr>
        <w:t>RIGHTS OF NATURE AND ILLEGAL MINING.</w:t>
      </w:r>
      <w:bookmarkStart w:id="0" w:name="_GoBack"/>
      <w:bookmarkEnd w:id="0"/>
    </w:p>
    <w:p w14:paraId="00E1E6D9" w14:textId="56538C8B" w:rsidR="00EE3988" w:rsidRPr="00EB2EF2" w:rsidRDefault="00C075BC" w:rsidP="00BF2C9A">
      <w:pPr>
        <w:jc w:val="center"/>
        <w:rPr>
          <w:rFonts w:cs="Arial"/>
          <w:i/>
          <w:iCs/>
          <w:color w:val="000000"/>
          <w:sz w:val="22"/>
          <w:szCs w:val="22"/>
        </w:rPr>
      </w:pPr>
      <w:r w:rsidRPr="00C075BC">
        <w:rPr>
          <w:rFonts w:cs="Arial"/>
          <w:i/>
          <w:iCs/>
          <w:color w:val="000000"/>
          <w:sz w:val="22"/>
          <w:szCs w:val="22"/>
        </w:rPr>
        <w:t>A CRITICAL ANALYSIS OF PREVIOUS STUDIES.</w:t>
      </w:r>
      <w:r w:rsidR="00EE3988">
        <w:rPr>
          <w:rFonts w:cs="Arial"/>
          <w:i/>
          <w:iCs/>
          <w:color w:val="000000"/>
          <w:sz w:val="22"/>
          <w:szCs w:val="22"/>
        </w:rPr>
        <w:t xml:space="preserve"> </w:t>
      </w:r>
    </w:p>
    <w:p w14:paraId="40B99354" w14:textId="77777777" w:rsidR="00A42676" w:rsidRPr="00A42676" w:rsidRDefault="00A42676" w:rsidP="00BF2C9A">
      <w:pPr>
        <w:jc w:val="center"/>
        <w:rPr>
          <w:rFonts w:cs="Arial"/>
          <w:i/>
          <w:iCs/>
          <w:color w:val="000000"/>
          <w:sz w:val="22"/>
          <w:szCs w:val="22"/>
          <w:lang w:val="pt-PT"/>
        </w:rPr>
      </w:pPr>
    </w:p>
    <w:p w14:paraId="471B9F19" w14:textId="77777777" w:rsidR="00C075BC" w:rsidRPr="00C075BC" w:rsidRDefault="00C075BC" w:rsidP="00BF2C9A">
      <w:pPr>
        <w:jc w:val="center"/>
        <w:rPr>
          <w:rFonts w:cs="Arial"/>
          <w:i/>
          <w:iCs/>
          <w:color w:val="000000"/>
          <w:sz w:val="22"/>
          <w:szCs w:val="22"/>
          <w:lang w:val="pt-PT"/>
        </w:rPr>
      </w:pPr>
      <w:r w:rsidRPr="00C075BC">
        <w:rPr>
          <w:rFonts w:cs="Arial"/>
          <w:i/>
          <w:iCs/>
          <w:color w:val="000000"/>
          <w:sz w:val="22"/>
          <w:szCs w:val="22"/>
          <w:lang w:val="pt-PT"/>
        </w:rPr>
        <w:t>DIREITOS DA NATUREZA E MINERAÇÃO ILEGAL.</w:t>
      </w:r>
    </w:p>
    <w:p w14:paraId="3DAC42CD" w14:textId="09B34F1D" w:rsidR="00A42676" w:rsidRDefault="00C075BC" w:rsidP="00BF2C9A">
      <w:pPr>
        <w:jc w:val="center"/>
        <w:rPr>
          <w:rFonts w:cs="Arial"/>
          <w:color w:val="000000"/>
          <w:sz w:val="22"/>
          <w:szCs w:val="22"/>
        </w:rPr>
      </w:pPr>
      <w:r w:rsidRPr="00C075BC">
        <w:rPr>
          <w:rFonts w:cs="Arial"/>
          <w:i/>
          <w:iCs/>
          <w:color w:val="000000"/>
          <w:sz w:val="22"/>
          <w:szCs w:val="22"/>
          <w:lang w:val="pt-PT"/>
        </w:rPr>
        <w:t>UMA ANÁLISE CRÍTICA DE ESTUDOS ANTERIORES.</w:t>
      </w:r>
    </w:p>
    <w:p w14:paraId="344C0E90" w14:textId="77777777" w:rsidR="00EE3988" w:rsidRDefault="00EE3988" w:rsidP="001F7188">
      <w:pPr>
        <w:ind w:firstLine="567"/>
        <w:jc w:val="center"/>
        <w:rPr>
          <w:rFonts w:cs="Arial"/>
          <w:color w:val="000000"/>
          <w:sz w:val="22"/>
          <w:szCs w:val="22"/>
        </w:rPr>
      </w:pPr>
    </w:p>
    <w:p w14:paraId="669039DE" w14:textId="77777777" w:rsidR="00C075BC" w:rsidRDefault="00C075BC" w:rsidP="001F7188">
      <w:pPr>
        <w:ind w:firstLine="567"/>
        <w:jc w:val="center"/>
        <w:rPr>
          <w:rFonts w:cs="Arial"/>
          <w:color w:val="000000"/>
          <w:sz w:val="22"/>
          <w:szCs w:val="22"/>
        </w:rPr>
      </w:pPr>
    </w:p>
    <w:p w14:paraId="5BCE7245" w14:textId="77777777" w:rsidR="00C075BC" w:rsidRPr="00EB2EF2" w:rsidRDefault="00C075BC" w:rsidP="001F7188">
      <w:pPr>
        <w:ind w:firstLine="567"/>
        <w:jc w:val="center"/>
        <w:rPr>
          <w:rFonts w:cs="Arial"/>
          <w:color w:val="000000"/>
          <w:sz w:val="22"/>
          <w:szCs w:val="22"/>
        </w:rPr>
      </w:pPr>
    </w:p>
    <w:tbl>
      <w:tblPr>
        <w:tblW w:w="8605" w:type="dxa"/>
        <w:jc w:val="center"/>
        <w:tblBorders>
          <w:insideH w:val="nil"/>
          <w:insideV w:val="nil"/>
        </w:tblBorders>
        <w:tblLayout w:type="fixed"/>
        <w:tblLook w:val="0400" w:firstRow="0" w:lastRow="0" w:firstColumn="0" w:lastColumn="0" w:noHBand="0" w:noVBand="1"/>
      </w:tblPr>
      <w:tblGrid>
        <w:gridCol w:w="2694"/>
        <w:gridCol w:w="235"/>
        <w:gridCol w:w="2983"/>
        <w:gridCol w:w="2693"/>
      </w:tblGrid>
      <w:tr w:rsidR="00C075BC" w14:paraId="09562B3A" w14:textId="28D16877" w:rsidTr="004F2C10">
        <w:trPr>
          <w:trHeight w:val="341"/>
          <w:jc w:val="center"/>
        </w:trPr>
        <w:tc>
          <w:tcPr>
            <w:tcW w:w="2929" w:type="dxa"/>
            <w:gridSpan w:val="2"/>
            <w:tcBorders>
              <w:top w:val="single" w:sz="4" w:space="0" w:color="5B9BD5"/>
              <w:left w:val="nil"/>
              <w:bottom w:val="thinThickSmallGap" w:sz="24" w:space="0" w:color="5B9BD5"/>
              <w:right w:val="nil"/>
            </w:tcBorders>
            <w:vAlign w:val="center"/>
            <w:hideMark/>
          </w:tcPr>
          <w:p w14:paraId="2D4E618A" w14:textId="73C667E1" w:rsidR="00C075BC" w:rsidRDefault="00C075BC" w:rsidP="00C075BC">
            <w:pPr>
              <w:spacing w:line="240" w:lineRule="auto"/>
              <w:jc w:val="center"/>
              <w:rPr>
                <w:rFonts w:eastAsia="Arial" w:cs="Arial"/>
                <w:i/>
                <w:sz w:val="18"/>
                <w:szCs w:val="18"/>
              </w:rPr>
            </w:pPr>
            <w:r>
              <w:rPr>
                <w:rFonts w:eastAsia="Arial" w:cs="Arial"/>
                <w:b/>
                <w:sz w:val="18"/>
                <w:szCs w:val="18"/>
              </w:rPr>
              <w:t>Recibido</w:t>
            </w:r>
            <w:r>
              <w:rPr>
                <w:rFonts w:eastAsia="Arial" w:cs="Arial"/>
                <w:sz w:val="18"/>
                <w:szCs w:val="18"/>
              </w:rPr>
              <w:t>: 03/07/2026</w:t>
            </w:r>
          </w:p>
        </w:tc>
        <w:tc>
          <w:tcPr>
            <w:tcW w:w="2983" w:type="dxa"/>
            <w:tcBorders>
              <w:top w:val="single" w:sz="4" w:space="0" w:color="5B9BD5"/>
              <w:left w:val="nil"/>
              <w:bottom w:val="thinThickSmallGap" w:sz="24" w:space="0" w:color="5B9BD5"/>
              <w:right w:val="nil"/>
            </w:tcBorders>
            <w:vAlign w:val="center"/>
            <w:hideMark/>
          </w:tcPr>
          <w:p w14:paraId="3B10A9FD" w14:textId="1ABD299B" w:rsidR="00C075BC" w:rsidRDefault="00C075BC" w:rsidP="00C075BC">
            <w:pPr>
              <w:spacing w:line="240" w:lineRule="auto"/>
              <w:jc w:val="center"/>
              <w:rPr>
                <w:rFonts w:eastAsia="Arial" w:cs="Arial"/>
                <w:i/>
                <w:sz w:val="18"/>
                <w:szCs w:val="18"/>
              </w:rPr>
            </w:pPr>
            <w:r>
              <w:rPr>
                <w:rFonts w:eastAsia="Arial" w:cs="Arial"/>
                <w:b/>
                <w:sz w:val="18"/>
                <w:szCs w:val="18"/>
              </w:rPr>
              <w:t>Aceptado</w:t>
            </w:r>
            <w:r>
              <w:rPr>
                <w:rFonts w:eastAsia="Arial" w:cs="Arial"/>
                <w:sz w:val="18"/>
                <w:szCs w:val="18"/>
              </w:rPr>
              <w:t>: 14/07/2026</w:t>
            </w:r>
          </w:p>
        </w:tc>
        <w:tc>
          <w:tcPr>
            <w:tcW w:w="2693" w:type="dxa"/>
            <w:tcBorders>
              <w:top w:val="single" w:sz="4" w:space="0" w:color="5B9BD5"/>
              <w:left w:val="nil"/>
              <w:bottom w:val="thinThickSmallGap" w:sz="24" w:space="0" w:color="5B9BD5"/>
              <w:right w:val="nil"/>
            </w:tcBorders>
            <w:vAlign w:val="center"/>
          </w:tcPr>
          <w:p w14:paraId="04A16EC2" w14:textId="29027DD7" w:rsidR="00C075BC" w:rsidRDefault="00C075BC" w:rsidP="00C075BC">
            <w:pPr>
              <w:spacing w:line="240" w:lineRule="auto"/>
              <w:jc w:val="center"/>
              <w:rPr>
                <w:rFonts w:eastAsia="Arial" w:cs="Arial"/>
                <w:b/>
                <w:sz w:val="18"/>
                <w:szCs w:val="18"/>
              </w:rPr>
            </w:pPr>
            <w:r>
              <w:rPr>
                <w:rFonts w:eastAsia="Arial" w:cs="Arial"/>
                <w:b/>
                <w:sz w:val="18"/>
                <w:szCs w:val="18"/>
              </w:rPr>
              <w:t xml:space="preserve">Aprobado: </w:t>
            </w:r>
            <w:r>
              <w:rPr>
                <w:rFonts w:eastAsia="Arial" w:cs="Arial"/>
                <w:sz w:val="18"/>
                <w:szCs w:val="18"/>
              </w:rPr>
              <w:t>28/082026</w:t>
            </w:r>
          </w:p>
        </w:tc>
      </w:tr>
      <w:tr w:rsidR="00C075BC" w:rsidRPr="00C075BC" w14:paraId="6449EB36" w14:textId="4022AD91" w:rsidTr="00C075BC">
        <w:tblPrEx>
          <w:tblBorders>
            <w:top w:val="nil"/>
            <w:left w:val="nil"/>
            <w:bottom w:val="nil"/>
            <w:right w:val="nil"/>
          </w:tblBorders>
        </w:tblPrEx>
        <w:trPr>
          <w:trHeight w:val="341"/>
          <w:jc w:val="center"/>
        </w:trPr>
        <w:tc>
          <w:tcPr>
            <w:tcW w:w="2694" w:type="dxa"/>
            <w:tcBorders>
              <w:top w:val="thinThickSmallGap" w:sz="24" w:space="0" w:color="5B9BD5"/>
              <w:bottom w:val="thinThickSmallGap" w:sz="24" w:space="0" w:color="5B9BD5"/>
            </w:tcBorders>
            <w:vAlign w:val="center"/>
          </w:tcPr>
          <w:p w14:paraId="7C75C00B" w14:textId="3C758D6D" w:rsidR="00C075BC" w:rsidRPr="00C075BC" w:rsidRDefault="00C075BC" w:rsidP="00C075BC">
            <w:pPr>
              <w:spacing w:line="240" w:lineRule="auto"/>
              <w:jc w:val="center"/>
              <w:rPr>
                <w:rFonts w:eastAsia="Arial" w:cs="Arial"/>
                <w:b/>
                <w:i/>
                <w:iCs/>
                <w:sz w:val="22"/>
                <w:szCs w:val="22"/>
              </w:rPr>
            </w:pPr>
            <w:r w:rsidRPr="00C075BC">
              <w:rPr>
                <w:rFonts w:cs="Arial"/>
                <w:bCs/>
                <w:i/>
                <w:iCs/>
                <w:sz w:val="22"/>
                <w:szCs w:val="22"/>
              </w:rPr>
              <w:t>Doris</w:t>
            </w:r>
            <w:r w:rsidRPr="00C075BC">
              <w:rPr>
                <w:rFonts w:cs="Arial"/>
                <w:b/>
                <w:i/>
                <w:iCs/>
                <w:sz w:val="22"/>
                <w:szCs w:val="22"/>
              </w:rPr>
              <w:t xml:space="preserve"> SÁNCHEZ</w:t>
            </w:r>
            <w:r w:rsidRPr="00C075BC">
              <w:rPr>
                <w:rFonts w:cs="Arial"/>
                <w:b/>
                <w:sz w:val="22"/>
                <w:szCs w:val="22"/>
              </w:rPr>
              <w:t xml:space="preserve"> </w:t>
            </w:r>
            <w:r w:rsidRPr="00C075BC">
              <w:rPr>
                <w:rFonts w:eastAsia="Arial" w:cs="Arial"/>
                <w:b/>
                <w:i/>
                <w:iCs/>
                <w:sz w:val="22"/>
                <w:szCs w:val="22"/>
                <w:vertAlign w:val="superscript"/>
              </w:rPr>
              <w:footnoteReference w:id="1"/>
            </w:r>
            <w:r w:rsidRPr="00C075BC">
              <w:rPr>
                <w:rFonts w:eastAsia="Arial" w:cs="Arial"/>
                <w:i/>
                <w:iCs/>
                <w:sz w:val="22"/>
                <w:szCs w:val="22"/>
              </w:rPr>
              <w:t xml:space="preserve">                          </w:t>
            </w:r>
          </w:p>
        </w:tc>
        <w:tc>
          <w:tcPr>
            <w:tcW w:w="3218" w:type="dxa"/>
            <w:gridSpan w:val="2"/>
            <w:tcBorders>
              <w:top w:val="thinThickSmallGap" w:sz="24" w:space="0" w:color="5B9BD5"/>
              <w:bottom w:val="thinThickSmallGap" w:sz="24" w:space="0" w:color="5B9BD5"/>
            </w:tcBorders>
            <w:vAlign w:val="center"/>
          </w:tcPr>
          <w:p w14:paraId="514BCED0" w14:textId="1D7C4EDA" w:rsidR="00C075BC" w:rsidRPr="00C075BC" w:rsidRDefault="00C075BC" w:rsidP="00C075BC">
            <w:pPr>
              <w:spacing w:line="240" w:lineRule="auto"/>
              <w:jc w:val="center"/>
              <w:rPr>
                <w:rFonts w:eastAsia="Arial" w:cs="Arial"/>
                <w:b/>
                <w:i/>
                <w:iCs/>
                <w:sz w:val="22"/>
                <w:szCs w:val="22"/>
              </w:rPr>
            </w:pPr>
            <w:r w:rsidRPr="00C075BC">
              <w:rPr>
                <w:rFonts w:eastAsia="Arial" w:cs="Arial"/>
                <w:i/>
                <w:iCs/>
                <w:sz w:val="22"/>
                <w:szCs w:val="22"/>
              </w:rPr>
              <w:t xml:space="preserve">Cesar </w:t>
            </w:r>
            <w:r w:rsidRPr="00C075BC">
              <w:rPr>
                <w:rFonts w:eastAsia="Arial" w:cs="Arial"/>
                <w:b/>
                <w:bCs/>
                <w:i/>
                <w:iCs/>
                <w:sz w:val="22"/>
                <w:szCs w:val="22"/>
              </w:rPr>
              <w:t>MILIAN</w:t>
            </w:r>
            <w:r w:rsidRPr="00C075BC">
              <w:rPr>
                <w:rFonts w:eastAsia="Arial" w:cs="Arial"/>
                <w:i/>
                <w:iCs/>
                <w:sz w:val="22"/>
                <w:szCs w:val="22"/>
              </w:rPr>
              <w:t xml:space="preserve"> </w:t>
            </w:r>
            <w:r w:rsidRPr="00C075BC">
              <w:rPr>
                <w:rStyle w:val="Refdenotaalpie"/>
                <w:rFonts w:eastAsia="Arial" w:cs="Arial"/>
                <w:b/>
                <w:bCs/>
                <w:i/>
                <w:iCs/>
                <w:sz w:val="22"/>
                <w:szCs w:val="22"/>
              </w:rPr>
              <w:footnoteReference w:id="2"/>
            </w:r>
          </w:p>
        </w:tc>
        <w:tc>
          <w:tcPr>
            <w:tcW w:w="2693" w:type="dxa"/>
            <w:tcBorders>
              <w:top w:val="thinThickSmallGap" w:sz="24" w:space="0" w:color="5B9BD5"/>
              <w:bottom w:val="thinThickSmallGap" w:sz="24" w:space="0" w:color="5B9BD5"/>
            </w:tcBorders>
          </w:tcPr>
          <w:p w14:paraId="0D696A25" w14:textId="3956BF90" w:rsidR="00C075BC" w:rsidRPr="00C075BC" w:rsidRDefault="00C075BC" w:rsidP="00C075BC">
            <w:pPr>
              <w:spacing w:line="240" w:lineRule="auto"/>
              <w:ind w:right="134"/>
              <w:jc w:val="center"/>
              <w:rPr>
                <w:rFonts w:eastAsia="Arial" w:cs="Arial"/>
                <w:i/>
                <w:iCs/>
                <w:sz w:val="22"/>
                <w:szCs w:val="22"/>
                <w:vertAlign w:val="superscript"/>
              </w:rPr>
            </w:pPr>
            <w:r w:rsidRPr="00C075BC">
              <w:rPr>
                <w:rFonts w:eastAsia="Arial" w:cs="Arial"/>
                <w:i/>
                <w:iCs/>
                <w:sz w:val="22"/>
                <w:szCs w:val="22"/>
              </w:rPr>
              <w:t xml:space="preserve">Gustavo </w:t>
            </w:r>
            <w:r w:rsidRPr="00C075BC">
              <w:rPr>
                <w:rFonts w:eastAsia="Arial" w:cs="Arial"/>
                <w:b/>
                <w:bCs/>
                <w:i/>
                <w:iCs/>
                <w:sz w:val="22"/>
                <w:szCs w:val="22"/>
              </w:rPr>
              <w:t>REYNA</w:t>
            </w:r>
            <w:r>
              <w:rPr>
                <w:rStyle w:val="Refdenotaalpie"/>
                <w:rFonts w:eastAsia="Arial" w:cs="Arial"/>
                <w:b/>
                <w:bCs/>
                <w:i/>
                <w:iCs/>
                <w:sz w:val="22"/>
                <w:szCs w:val="22"/>
              </w:rPr>
              <w:footnoteReference w:id="3"/>
            </w:r>
            <w:r w:rsidRPr="00C075BC">
              <w:rPr>
                <w:rFonts w:eastAsia="Arial" w:cs="Arial"/>
                <w:b/>
                <w:bCs/>
                <w:i/>
                <w:iCs/>
                <w:sz w:val="22"/>
                <w:szCs w:val="22"/>
              </w:rPr>
              <w:t xml:space="preserve"> </w:t>
            </w:r>
          </w:p>
        </w:tc>
      </w:tr>
      <w:tr w:rsidR="00C075BC" w:rsidRPr="00EB2EF2" w14:paraId="696DD60B" w14:textId="2019D872" w:rsidTr="00D67BFA">
        <w:tblPrEx>
          <w:tblBorders>
            <w:top w:val="nil"/>
            <w:left w:val="nil"/>
            <w:bottom w:val="nil"/>
            <w:right w:val="nil"/>
          </w:tblBorders>
        </w:tblPrEx>
        <w:trPr>
          <w:trHeight w:val="341"/>
          <w:jc w:val="center"/>
        </w:trPr>
        <w:tc>
          <w:tcPr>
            <w:tcW w:w="8605" w:type="dxa"/>
            <w:gridSpan w:val="4"/>
            <w:tcBorders>
              <w:top w:val="thinThickSmallGap" w:sz="24" w:space="0" w:color="5B9BD5"/>
              <w:bottom w:val="thinThickSmallGap" w:sz="24" w:space="0" w:color="5B9BD5"/>
            </w:tcBorders>
            <w:vAlign w:val="center"/>
          </w:tcPr>
          <w:p w14:paraId="1A916070" w14:textId="499ED1B1" w:rsidR="00C075BC" w:rsidRPr="00A42676" w:rsidRDefault="001416C0" w:rsidP="001416C0">
            <w:pPr>
              <w:spacing w:line="240" w:lineRule="auto"/>
              <w:jc w:val="center"/>
              <w:rPr>
                <w:rFonts w:eastAsia="Arial" w:cs="Arial"/>
                <w:i/>
                <w:iCs/>
                <w:sz w:val="22"/>
                <w:szCs w:val="22"/>
              </w:rPr>
            </w:pPr>
            <w:r w:rsidRPr="00C075BC">
              <w:rPr>
                <w:rFonts w:eastAsia="Arial" w:cs="Arial"/>
                <w:i/>
                <w:iCs/>
                <w:sz w:val="22"/>
                <w:szCs w:val="22"/>
              </w:rPr>
              <w:t xml:space="preserve">Rony </w:t>
            </w:r>
            <w:r w:rsidRPr="00C075BC">
              <w:rPr>
                <w:rFonts w:eastAsia="Arial" w:cs="Arial"/>
                <w:b/>
                <w:bCs/>
                <w:i/>
                <w:iCs/>
                <w:sz w:val="22"/>
                <w:szCs w:val="22"/>
              </w:rPr>
              <w:t>HIPP REYNA</w:t>
            </w:r>
            <w:r>
              <w:rPr>
                <w:rFonts w:eastAsia="Arial" w:cs="Arial"/>
                <w:b/>
                <w:bCs/>
                <w:i/>
                <w:iCs/>
                <w:sz w:val="22"/>
                <w:szCs w:val="22"/>
              </w:rPr>
              <w:t xml:space="preserve"> </w:t>
            </w:r>
            <w:r w:rsidR="00C075BC">
              <w:rPr>
                <w:rStyle w:val="Refdenotaalpie"/>
                <w:rFonts w:eastAsia="Arial" w:cs="Arial"/>
                <w:b/>
                <w:bCs/>
                <w:i/>
                <w:iCs/>
                <w:sz w:val="22"/>
                <w:szCs w:val="22"/>
              </w:rPr>
              <w:footnoteReference w:id="4"/>
            </w:r>
            <w:r w:rsidR="00C075BC">
              <w:rPr>
                <w:rFonts w:eastAsia="Arial" w:cs="Arial"/>
                <w:b/>
                <w:bCs/>
                <w:i/>
                <w:iCs/>
                <w:sz w:val="22"/>
                <w:szCs w:val="22"/>
              </w:rPr>
              <w:t xml:space="preserve">          </w:t>
            </w:r>
            <w:r w:rsidRPr="001416C0">
              <w:rPr>
                <w:rFonts w:eastAsia="Arial" w:cs="Arial"/>
                <w:bCs/>
                <w:i/>
                <w:iCs/>
                <w:sz w:val="22"/>
                <w:szCs w:val="22"/>
              </w:rPr>
              <w:t>Xavier</w:t>
            </w:r>
            <w:r>
              <w:rPr>
                <w:rFonts w:eastAsia="Arial" w:cs="Arial"/>
                <w:b/>
                <w:bCs/>
                <w:i/>
                <w:iCs/>
                <w:sz w:val="22"/>
                <w:szCs w:val="22"/>
              </w:rPr>
              <w:t xml:space="preserve"> ROMERO</w:t>
            </w:r>
            <w:r w:rsidR="00C075BC">
              <w:rPr>
                <w:rFonts w:eastAsia="Arial" w:cs="Arial"/>
                <w:b/>
                <w:bCs/>
                <w:i/>
                <w:iCs/>
                <w:sz w:val="22"/>
                <w:szCs w:val="22"/>
              </w:rPr>
              <w:t xml:space="preserve"> </w:t>
            </w:r>
            <w:r w:rsidR="00C075BC">
              <w:rPr>
                <w:rStyle w:val="Refdenotaalpie"/>
                <w:rFonts w:eastAsia="Arial" w:cs="Arial"/>
                <w:b/>
                <w:bCs/>
                <w:i/>
                <w:iCs/>
                <w:sz w:val="22"/>
                <w:szCs w:val="22"/>
              </w:rPr>
              <w:footnoteReference w:id="5"/>
            </w:r>
          </w:p>
        </w:tc>
      </w:tr>
    </w:tbl>
    <w:p w14:paraId="02D154CE" w14:textId="77777777" w:rsidR="00B3620B" w:rsidRPr="00EB2EF2" w:rsidRDefault="00B3620B" w:rsidP="001F7188">
      <w:pPr>
        <w:ind w:firstLine="567"/>
        <w:rPr>
          <w:rFonts w:cs="Arial"/>
          <w:i/>
          <w:color w:val="000000"/>
          <w:sz w:val="22"/>
          <w:szCs w:val="22"/>
        </w:rPr>
      </w:pPr>
    </w:p>
    <w:p w14:paraId="4EF373BB" w14:textId="77777777" w:rsidR="00A11F1B" w:rsidRDefault="00A11F1B" w:rsidP="001F7188">
      <w:pPr>
        <w:ind w:firstLine="567"/>
        <w:rPr>
          <w:rFonts w:cs="Arial"/>
          <w:b/>
          <w:sz w:val="22"/>
          <w:szCs w:val="22"/>
        </w:rPr>
      </w:pPr>
    </w:p>
    <w:p w14:paraId="0467F577" w14:textId="77777777" w:rsidR="00F9625C" w:rsidRPr="00F9625C" w:rsidRDefault="00F9625C" w:rsidP="00F9625C">
      <w:pPr>
        <w:pStyle w:val="Ttulo1"/>
      </w:pPr>
      <w:r w:rsidRPr="00F9625C">
        <w:t>Resumen</w:t>
      </w:r>
    </w:p>
    <w:p w14:paraId="23407960" w14:textId="77777777" w:rsidR="00F9625C" w:rsidRPr="00F9625C" w:rsidRDefault="00F9625C" w:rsidP="00F9625C">
      <w:pPr>
        <w:rPr>
          <w:rFonts w:cs="Arial"/>
          <w:sz w:val="22"/>
          <w:szCs w:val="22"/>
        </w:rPr>
      </w:pPr>
      <w:r w:rsidRPr="00F9625C">
        <w:rPr>
          <w:rFonts w:cs="Arial"/>
          <w:sz w:val="22"/>
          <w:szCs w:val="22"/>
        </w:rPr>
        <w:t xml:space="preserve">La relación entre los derechos de la naturaleza y la minería ilegal se ha consolidado como un campo de análisis jurídico, ambiental y </w:t>
      </w:r>
      <w:proofErr w:type="spellStart"/>
      <w:r w:rsidRPr="00F9625C">
        <w:rPr>
          <w:rFonts w:cs="Arial"/>
          <w:sz w:val="22"/>
          <w:szCs w:val="22"/>
        </w:rPr>
        <w:t>socioinstitucional</w:t>
      </w:r>
      <w:proofErr w:type="spellEnd"/>
      <w:r w:rsidRPr="00F9625C">
        <w:rPr>
          <w:rFonts w:cs="Arial"/>
          <w:sz w:val="22"/>
          <w:szCs w:val="22"/>
        </w:rPr>
        <w:t xml:space="preserve"> en América Latina. La presente revisión sistematiza 40 fichas documentales —20 internacionales y 20 nacionales— elaboradas sobre publicaciones vinculadas con minería ilegal, derechos de la naturaleza, protección de ecosistemas, pueblos indígenas, gobernanza ambiental y regulación minera. La base corresponde a 39 publicaciones únicas, debido a que una referencia internacional fue incorporada dos veces; para conservar la trazabilidad de la matriz recibida, los estadísticos principales se presentan sobre las 40 fichas y se advierte la duplicación metodológica. Se aplicó un enfoque cualitativo de análisis documental complementado con estadística descriptiva y codificación temática </w:t>
      </w:r>
      <w:proofErr w:type="spellStart"/>
      <w:r w:rsidRPr="00F9625C">
        <w:rPr>
          <w:rFonts w:cs="Arial"/>
          <w:sz w:val="22"/>
          <w:szCs w:val="22"/>
        </w:rPr>
        <w:t>multietiqueta</w:t>
      </w:r>
      <w:proofErr w:type="spellEnd"/>
      <w:r w:rsidRPr="00F9625C">
        <w:rPr>
          <w:rFonts w:cs="Arial"/>
          <w:sz w:val="22"/>
          <w:szCs w:val="22"/>
        </w:rPr>
        <w:t xml:space="preserve">. Las dimensiones más frecuentes fueron gobernanza, institucionalidad y fiscalización (75,0 %), eficacia normativa, justicia y jurisprudencia (75,0 %), minería </w:t>
      </w:r>
      <w:r w:rsidRPr="00F9625C">
        <w:rPr>
          <w:rFonts w:cs="Arial"/>
          <w:sz w:val="22"/>
          <w:szCs w:val="22"/>
        </w:rPr>
        <w:lastRenderedPageBreak/>
        <w:t xml:space="preserve">ilegal, informal o criminal (62,5 %), participación, consulta y justicia ambiental (52,5 %), y agua, mercurio y recursos hídricos (47,5 %). El reconocimiento de los derechos de la naturaleza o enfoques </w:t>
      </w:r>
      <w:proofErr w:type="spellStart"/>
      <w:r w:rsidRPr="00F9625C">
        <w:rPr>
          <w:rFonts w:cs="Arial"/>
          <w:sz w:val="22"/>
          <w:szCs w:val="22"/>
        </w:rPr>
        <w:t>ecocéntricos</w:t>
      </w:r>
      <w:proofErr w:type="spellEnd"/>
      <w:r w:rsidRPr="00F9625C">
        <w:rPr>
          <w:rFonts w:cs="Arial"/>
          <w:sz w:val="22"/>
          <w:szCs w:val="22"/>
        </w:rPr>
        <w:t xml:space="preserve"> aparece en el 40,0 % de las fichas. El contraste evidencia que la literatura internacional desarrolla con mayor intensidad los fundamentos </w:t>
      </w:r>
      <w:proofErr w:type="spellStart"/>
      <w:r w:rsidRPr="00F9625C">
        <w:rPr>
          <w:rFonts w:cs="Arial"/>
          <w:sz w:val="22"/>
          <w:szCs w:val="22"/>
        </w:rPr>
        <w:t>ecocéntricos</w:t>
      </w:r>
      <w:proofErr w:type="spellEnd"/>
      <w:r w:rsidRPr="00F9625C">
        <w:rPr>
          <w:rFonts w:cs="Arial"/>
          <w:sz w:val="22"/>
          <w:szCs w:val="22"/>
        </w:rPr>
        <w:t>, la jurisprudencia y los derechos indígenas, mientras que la producción nacional se concentra con mayor frecuencia en formalización, control estatal, persecución penal, gestión pública y conflictos territoriales. La revisión muestra que el principal problema no es únicamente la existencia de normas, sino la brecha entre reconocimiento formal, capacidad institucional y protección ecológica efectiva.</w:t>
      </w:r>
    </w:p>
    <w:p w14:paraId="7B7D129E" w14:textId="77777777" w:rsidR="00F9625C" w:rsidRDefault="00F9625C" w:rsidP="00F9625C">
      <w:pPr>
        <w:rPr>
          <w:rFonts w:cs="Arial"/>
          <w:sz w:val="22"/>
          <w:szCs w:val="22"/>
        </w:rPr>
      </w:pPr>
      <w:r w:rsidRPr="00F9625C">
        <w:rPr>
          <w:rFonts w:cs="Arial"/>
          <w:b/>
          <w:sz w:val="22"/>
          <w:szCs w:val="22"/>
        </w:rPr>
        <w:t>Palabras clave:</w:t>
      </w:r>
      <w:r w:rsidRPr="00F9625C">
        <w:rPr>
          <w:rFonts w:cs="Arial"/>
          <w:sz w:val="22"/>
          <w:szCs w:val="22"/>
        </w:rPr>
        <w:t xml:space="preserve"> derechos de la naturaleza, minería ilegal, gobernanza ambiental, pueblos indígenas, justicia ambiental, fiscalización.</w:t>
      </w:r>
    </w:p>
    <w:p w14:paraId="4CA240AF" w14:textId="77777777" w:rsidR="00F9625C" w:rsidRPr="00F9625C" w:rsidRDefault="00F9625C" w:rsidP="00F9625C">
      <w:pPr>
        <w:rPr>
          <w:rFonts w:cs="Arial"/>
          <w:sz w:val="22"/>
          <w:szCs w:val="22"/>
        </w:rPr>
      </w:pPr>
    </w:p>
    <w:p w14:paraId="084020D4" w14:textId="77777777" w:rsidR="00F9625C" w:rsidRPr="00F9625C" w:rsidRDefault="00F9625C" w:rsidP="00F9625C">
      <w:pPr>
        <w:pStyle w:val="Ttulo1"/>
      </w:pPr>
      <w:r w:rsidRPr="00F9625C">
        <w:t>Abstract</w:t>
      </w:r>
    </w:p>
    <w:p w14:paraId="1F380802" w14:textId="77777777" w:rsidR="00F9625C" w:rsidRPr="00F9625C" w:rsidRDefault="00F9625C" w:rsidP="00F9625C">
      <w:pPr>
        <w:rPr>
          <w:rFonts w:cs="Arial"/>
          <w:sz w:val="22"/>
          <w:szCs w:val="22"/>
        </w:rPr>
      </w:pPr>
      <w:r w:rsidRPr="00F9625C">
        <w:rPr>
          <w:rFonts w:cs="Arial"/>
          <w:sz w:val="22"/>
          <w:szCs w:val="22"/>
        </w:rPr>
        <w:t xml:space="preserve">The </w:t>
      </w:r>
      <w:proofErr w:type="spellStart"/>
      <w:r w:rsidRPr="00F9625C">
        <w:rPr>
          <w:rFonts w:cs="Arial"/>
          <w:sz w:val="22"/>
          <w:szCs w:val="22"/>
        </w:rPr>
        <w:t>relationship</w:t>
      </w:r>
      <w:proofErr w:type="spellEnd"/>
      <w:r w:rsidRPr="00F9625C">
        <w:rPr>
          <w:rFonts w:cs="Arial"/>
          <w:sz w:val="22"/>
          <w:szCs w:val="22"/>
        </w:rPr>
        <w:t xml:space="preserve"> </w:t>
      </w:r>
      <w:proofErr w:type="spellStart"/>
      <w:r w:rsidRPr="00F9625C">
        <w:rPr>
          <w:rFonts w:cs="Arial"/>
          <w:sz w:val="22"/>
          <w:szCs w:val="22"/>
        </w:rPr>
        <w:t>between</w:t>
      </w:r>
      <w:proofErr w:type="spellEnd"/>
      <w:r w:rsidRPr="00F9625C">
        <w:rPr>
          <w:rFonts w:cs="Arial"/>
          <w:sz w:val="22"/>
          <w:szCs w:val="22"/>
        </w:rPr>
        <w:t xml:space="preserve"> the </w:t>
      </w:r>
      <w:proofErr w:type="spellStart"/>
      <w:r w:rsidRPr="00F9625C">
        <w:rPr>
          <w:rFonts w:cs="Arial"/>
          <w:sz w:val="22"/>
          <w:szCs w:val="22"/>
        </w:rPr>
        <w:t>rights</w:t>
      </w:r>
      <w:proofErr w:type="spellEnd"/>
      <w:r w:rsidRPr="00F9625C">
        <w:rPr>
          <w:rFonts w:cs="Arial"/>
          <w:sz w:val="22"/>
          <w:szCs w:val="22"/>
        </w:rPr>
        <w:t xml:space="preserve"> of </w:t>
      </w:r>
      <w:proofErr w:type="spellStart"/>
      <w:r w:rsidRPr="00F9625C">
        <w:rPr>
          <w:rFonts w:cs="Arial"/>
          <w:sz w:val="22"/>
          <w:szCs w:val="22"/>
        </w:rPr>
        <w:t>nature</w:t>
      </w:r>
      <w:proofErr w:type="spellEnd"/>
      <w:r w:rsidRPr="00F9625C">
        <w:rPr>
          <w:rFonts w:cs="Arial"/>
          <w:sz w:val="22"/>
          <w:szCs w:val="22"/>
        </w:rPr>
        <w:t xml:space="preserve"> and </w:t>
      </w:r>
      <w:proofErr w:type="spellStart"/>
      <w:r w:rsidRPr="00F9625C">
        <w:rPr>
          <w:rFonts w:cs="Arial"/>
          <w:sz w:val="22"/>
          <w:szCs w:val="22"/>
        </w:rPr>
        <w:t>illegal</w:t>
      </w:r>
      <w:proofErr w:type="spellEnd"/>
      <w:r w:rsidRPr="00F9625C">
        <w:rPr>
          <w:rFonts w:cs="Arial"/>
          <w:sz w:val="22"/>
          <w:szCs w:val="22"/>
        </w:rPr>
        <w:t xml:space="preserve"> </w:t>
      </w:r>
      <w:proofErr w:type="spellStart"/>
      <w:r w:rsidRPr="00F9625C">
        <w:rPr>
          <w:rFonts w:cs="Arial"/>
          <w:sz w:val="22"/>
          <w:szCs w:val="22"/>
        </w:rPr>
        <w:t>mining</w:t>
      </w:r>
      <w:proofErr w:type="spellEnd"/>
      <w:r w:rsidRPr="00F9625C">
        <w:rPr>
          <w:rFonts w:cs="Arial"/>
          <w:sz w:val="22"/>
          <w:szCs w:val="22"/>
        </w:rPr>
        <w:t xml:space="preserve"> has </w:t>
      </w:r>
      <w:proofErr w:type="spellStart"/>
      <w:r w:rsidRPr="00F9625C">
        <w:rPr>
          <w:rFonts w:cs="Arial"/>
          <w:sz w:val="22"/>
          <w:szCs w:val="22"/>
        </w:rPr>
        <w:t>become</w:t>
      </w:r>
      <w:proofErr w:type="spellEnd"/>
      <w:r w:rsidRPr="00F9625C">
        <w:rPr>
          <w:rFonts w:cs="Arial"/>
          <w:sz w:val="22"/>
          <w:szCs w:val="22"/>
        </w:rPr>
        <w:t xml:space="preserve"> a </w:t>
      </w:r>
      <w:proofErr w:type="spellStart"/>
      <w:r w:rsidRPr="00F9625C">
        <w:rPr>
          <w:rFonts w:cs="Arial"/>
          <w:sz w:val="22"/>
          <w:szCs w:val="22"/>
        </w:rPr>
        <w:t>relevant</w:t>
      </w:r>
      <w:proofErr w:type="spellEnd"/>
      <w:r w:rsidRPr="00F9625C">
        <w:rPr>
          <w:rFonts w:cs="Arial"/>
          <w:sz w:val="22"/>
          <w:szCs w:val="22"/>
        </w:rPr>
        <w:t xml:space="preserve"> </w:t>
      </w:r>
      <w:proofErr w:type="spellStart"/>
      <w:r w:rsidRPr="00F9625C">
        <w:rPr>
          <w:rFonts w:cs="Arial"/>
          <w:sz w:val="22"/>
          <w:szCs w:val="22"/>
        </w:rPr>
        <w:t>field</w:t>
      </w:r>
      <w:proofErr w:type="spellEnd"/>
      <w:r w:rsidRPr="00F9625C">
        <w:rPr>
          <w:rFonts w:cs="Arial"/>
          <w:sz w:val="22"/>
          <w:szCs w:val="22"/>
        </w:rPr>
        <w:t xml:space="preserve"> of legal, </w:t>
      </w:r>
      <w:proofErr w:type="spellStart"/>
      <w:r w:rsidRPr="00F9625C">
        <w:rPr>
          <w:rFonts w:cs="Arial"/>
          <w:sz w:val="22"/>
          <w:szCs w:val="22"/>
        </w:rPr>
        <w:t>environmental</w:t>
      </w:r>
      <w:proofErr w:type="spellEnd"/>
      <w:r w:rsidRPr="00F9625C">
        <w:rPr>
          <w:rFonts w:cs="Arial"/>
          <w:sz w:val="22"/>
          <w:szCs w:val="22"/>
        </w:rPr>
        <w:t xml:space="preserve"> and socio-</w:t>
      </w:r>
      <w:proofErr w:type="spellStart"/>
      <w:r w:rsidRPr="00F9625C">
        <w:rPr>
          <w:rFonts w:cs="Arial"/>
          <w:sz w:val="22"/>
          <w:szCs w:val="22"/>
        </w:rPr>
        <w:t>institutional</w:t>
      </w:r>
      <w:proofErr w:type="spellEnd"/>
      <w:r w:rsidRPr="00F9625C">
        <w:rPr>
          <w:rFonts w:cs="Arial"/>
          <w:sz w:val="22"/>
          <w:szCs w:val="22"/>
        </w:rPr>
        <w:t xml:space="preserve"> </w:t>
      </w:r>
      <w:proofErr w:type="spellStart"/>
      <w:r w:rsidRPr="00F9625C">
        <w:rPr>
          <w:rFonts w:cs="Arial"/>
          <w:sz w:val="22"/>
          <w:szCs w:val="22"/>
        </w:rPr>
        <w:t>analysis</w:t>
      </w:r>
      <w:proofErr w:type="spellEnd"/>
      <w:r w:rsidRPr="00F9625C">
        <w:rPr>
          <w:rFonts w:cs="Arial"/>
          <w:sz w:val="22"/>
          <w:szCs w:val="22"/>
        </w:rPr>
        <w:t xml:space="preserve"> in </w:t>
      </w:r>
      <w:proofErr w:type="spellStart"/>
      <w:r w:rsidRPr="00F9625C">
        <w:rPr>
          <w:rFonts w:cs="Arial"/>
          <w:sz w:val="22"/>
          <w:szCs w:val="22"/>
        </w:rPr>
        <w:t>Latin</w:t>
      </w:r>
      <w:proofErr w:type="spellEnd"/>
      <w:r w:rsidRPr="00F9625C">
        <w:rPr>
          <w:rFonts w:cs="Arial"/>
          <w:sz w:val="22"/>
          <w:szCs w:val="22"/>
        </w:rPr>
        <w:t xml:space="preserve"> America. </w:t>
      </w:r>
      <w:proofErr w:type="spellStart"/>
      <w:r w:rsidRPr="00F9625C">
        <w:rPr>
          <w:rFonts w:cs="Arial"/>
          <w:sz w:val="22"/>
          <w:szCs w:val="22"/>
        </w:rPr>
        <w:t>This</w:t>
      </w:r>
      <w:proofErr w:type="spellEnd"/>
      <w:r w:rsidRPr="00F9625C">
        <w:rPr>
          <w:rFonts w:cs="Arial"/>
          <w:sz w:val="22"/>
          <w:szCs w:val="22"/>
        </w:rPr>
        <w:t xml:space="preserve"> </w:t>
      </w:r>
      <w:proofErr w:type="spellStart"/>
      <w:r w:rsidRPr="00F9625C">
        <w:rPr>
          <w:rFonts w:cs="Arial"/>
          <w:sz w:val="22"/>
          <w:szCs w:val="22"/>
        </w:rPr>
        <w:t>review</w:t>
      </w:r>
      <w:proofErr w:type="spellEnd"/>
      <w:r w:rsidRPr="00F9625C">
        <w:rPr>
          <w:rFonts w:cs="Arial"/>
          <w:sz w:val="22"/>
          <w:szCs w:val="22"/>
        </w:rPr>
        <w:t xml:space="preserve"> </w:t>
      </w:r>
      <w:proofErr w:type="spellStart"/>
      <w:r w:rsidRPr="00F9625C">
        <w:rPr>
          <w:rFonts w:cs="Arial"/>
          <w:sz w:val="22"/>
          <w:szCs w:val="22"/>
        </w:rPr>
        <w:t>systematizes</w:t>
      </w:r>
      <w:proofErr w:type="spellEnd"/>
      <w:r w:rsidRPr="00F9625C">
        <w:rPr>
          <w:rFonts w:cs="Arial"/>
          <w:sz w:val="22"/>
          <w:szCs w:val="22"/>
        </w:rPr>
        <w:t xml:space="preserve"> 40 </w:t>
      </w:r>
      <w:proofErr w:type="spellStart"/>
      <w:r w:rsidRPr="00F9625C">
        <w:rPr>
          <w:rFonts w:cs="Arial"/>
          <w:sz w:val="22"/>
          <w:szCs w:val="22"/>
        </w:rPr>
        <w:t>documentary</w:t>
      </w:r>
      <w:proofErr w:type="spellEnd"/>
      <w:r w:rsidRPr="00F9625C">
        <w:rPr>
          <w:rFonts w:cs="Arial"/>
          <w:sz w:val="22"/>
          <w:szCs w:val="22"/>
        </w:rPr>
        <w:t xml:space="preserve"> records —20 </w:t>
      </w:r>
      <w:proofErr w:type="spellStart"/>
      <w:r w:rsidRPr="00F9625C">
        <w:rPr>
          <w:rFonts w:cs="Arial"/>
          <w:sz w:val="22"/>
          <w:szCs w:val="22"/>
        </w:rPr>
        <w:t>international</w:t>
      </w:r>
      <w:proofErr w:type="spellEnd"/>
      <w:r w:rsidRPr="00F9625C">
        <w:rPr>
          <w:rFonts w:cs="Arial"/>
          <w:sz w:val="22"/>
          <w:szCs w:val="22"/>
        </w:rPr>
        <w:t xml:space="preserve"> and 20 </w:t>
      </w:r>
      <w:proofErr w:type="spellStart"/>
      <w:r w:rsidRPr="00F9625C">
        <w:rPr>
          <w:rFonts w:cs="Arial"/>
          <w:sz w:val="22"/>
          <w:szCs w:val="22"/>
        </w:rPr>
        <w:t>Peruvian</w:t>
      </w:r>
      <w:proofErr w:type="spellEnd"/>
      <w:r w:rsidRPr="00F9625C">
        <w:rPr>
          <w:rFonts w:cs="Arial"/>
          <w:sz w:val="22"/>
          <w:szCs w:val="22"/>
        </w:rPr>
        <w:t xml:space="preserve">— </w:t>
      </w:r>
      <w:proofErr w:type="spellStart"/>
      <w:r w:rsidRPr="00F9625C">
        <w:rPr>
          <w:rFonts w:cs="Arial"/>
          <w:sz w:val="22"/>
          <w:szCs w:val="22"/>
        </w:rPr>
        <w:t>covering</w:t>
      </w:r>
      <w:proofErr w:type="spellEnd"/>
      <w:r w:rsidRPr="00F9625C">
        <w:rPr>
          <w:rFonts w:cs="Arial"/>
          <w:sz w:val="22"/>
          <w:szCs w:val="22"/>
        </w:rPr>
        <w:t xml:space="preserve"> </w:t>
      </w:r>
      <w:proofErr w:type="spellStart"/>
      <w:r w:rsidRPr="00F9625C">
        <w:rPr>
          <w:rFonts w:cs="Arial"/>
          <w:sz w:val="22"/>
          <w:szCs w:val="22"/>
        </w:rPr>
        <w:t>studies</w:t>
      </w:r>
      <w:proofErr w:type="spellEnd"/>
      <w:r w:rsidRPr="00F9625C">
        <w:rPr>
          <w:rFonts w:cs="Arial"/>
          <w:sz w:val="22"/>
          <w:szCs w:val="22"/>
        </w:rPr>
        <w:t xml:space="preserve"> on </w:t>
      </w:r>
      <w:proofErr w:type="spellStart"/>
      <w:r w:rsidRPr="00F9625C">
        <w:rPr>
          <w:rFonts w:cs="Arial"/>
          <w:sz w:val="22"/>
          <w:szCs w:val="22"/>
        </w:rPr>
        <w:t>illegal</w:t>
      </w:r>
      <w:proofErr w:type="spellEnd"/>
      <w:r w:rsidRPr="00F9625C">
        <w:rPr>
          <w:rFonts w:cs="Arial"/>
          <w:sz w:val="22"/>
          <w:szCs w:val="22"/>
        </w:rPr>
        <w:t xml:space="preserve"> </w:t>
      </w:r>
      <w:proofErr w:type="spellStart"/>
      <w:r w:rsidRPr="00F9625C">
        <w:rPr>
          <w:rFonts w:cs="Arial"/>
          <w:sz w:val="22"/>
          <w:szCs w:val="22"/>
        </w:rPr>
        <w:t>mining</w:t>
      </w:r>
      <w:proofErr w:type="spellEnd"/>
      <w:r w:rsidRPr="00F9625C">
        <w:rPr>
          <w:rFonts w:cs="Arial"/>
          <w:sz w:val="22"/>
          <w:szCs w:val="22"/>
        </w:rPr>
        <w:t xml:space="preserve">, </w:t>
      </w:r>
      <w:proofErr w:type="spellStart"/>
      <w:r w:rsidRPr="00F9625C">
        <w:rPr>
          <w:rFonts w:cs="Arial"/>
          <w:sz w:val="22"/>
          <w:szCs w:val="22"/>
        </w:rPr>
        <w:t>rights</w:t>
      </w:r>
      <w:proofErr w:type="spellEnd"/>
      <w:r w:rsidRPr="00F9625C">
        <w:rPr>
          <w:rFonts w:cs="Arial"/>
          <w:sz w:val="22"/>
          <w:szCs w:val="22"/>
        </w:rPr>
        <w:t xml:space="preserve"> of </w:t>
      </w:r>
      <w:proofErr w:type="spellStart"/>
      <w:r w:rsidRPr="00F9625C">
        <w:rPr>
          <w:rFonts w:cs="Arial"/>
          <w:sz w:val="22"/>
          <w:szCs w:val="22"/>
        </w:rPr>
        <w:t>nature</w:t>
      </w:r>
      <w:proofErr w:type="spellEnd"/>
      <w:r w:rsidRPr="00F9625C">
        <w:rPr>
          <w:rFonts w:cs="Arial"/>
          <w:sz w:val="22"/>
          <w:szCs w:val="22"/>
        </w:rPr>
        <w:t xml:space="preserve">, </w:t>
      </w:r>
      <w:proofErr w:type="spellStart"/>
      <w:r w:rsidRPr="00F9625C">
        <w:rPr>
          <w:rFonts w:cs="Arial"/>
          <w:sz w:val="22"/>
          <w:szCs w:val="22"/>
        </w:rPr>
        <w:t>ecosystem</w:t>
      </w:r>
      <w:proofErr w:type="spellEnd"/>
      <w:r w:rsidRPr="00F9625C">
        <w:rPr>
          <w:rFonts w:cs="Arial"/>
          <w:sz w:val="22"/>
          <w:szCs w:val="22"/>
        </w:rPr>
        <w:t xml:space="preserve"> </w:t>
      </w:r>
      <w:proofErr w:type="spellStart"/>
      <w:r w:rsidRPr="00F9625C">
        <w:rPr>
          <w:rFonts w:cs="Arial"/>
          <w:sz w:val="22"/>
          <w:szCs w:val="22"/>
        </w:rPr>
        <w:t>protection</w:t>
      </w:r>
      <w:proofErr w:type="spellEnd"/>
      <w:r w:rsidRPr="00F9625C">
        <w:rPr>
          <w:rFonts w:cs="Arial"/>
          <w:sz w:val="22"/>
          <w:szCs w:val="22"/>
        </w:rPr>
        <w:t xml:space="preserve">, </w:t>
      </w:r>
      <w:proofErr w:type="spellStart"/>
      <w:r w:rsidRPr="00F9625C">
        <w:rPr>
          <w:rFonts w:cs="Arial"/>
          <w:sz w:val="22"/>
          <w:szCs w:val="22"/>
        </w:rPr>
        <w:t>Indigenous</w:t>
      </w:r>
      <w:proofErr w:type="spellEnd"/>
      <w:r w:rsidRPr="00F9625C">
        <w:rPr>
          <w:rFonts w:cs="Arial"/>
          <w:sz w:val="22"/>
          <w:szCs w:val="22"/>
        </w:rPr>
        <w:t xml:space="preserve"> </w:t>
      </w:r>
      <w:proofErr w:type="spellStart"/>
      <w:r w:rsidRPr="00F9625C">
        <w:rPr>
          <w:rFonts w:cs="Arial"/>
          <w:sz w:val="22"/>
          <w:szCs w:val="22"/>
        </w:rPr>
        <w:t>Peoples</w:t>
      </w:r>
      <w:proofErr w:type="spellEnd"/>
      <w:r w:rsidRPr="00F9625C">
        <w:rPr>
          <w:rFonts w:cs="Arial"/>
          <w:sz w:val="22"/>
          <w:szCs w:val="22"/>
        </w:rPr>
        <w:t xml:space="preserve">, </w:t>
      </w:r>
      <w:proofErr w:type="spellStart"/>
      <w:r w:rsidRPr="00F9625C">
        <w:rPr>
          <w:rFonts w:cs="Arial"/>
          <w:sz w:val="22"/>
          <w:szCs w:val="22"/>
        </w:rPr>
        <w:t>environmental</w:t>
      </w:r>
      <w:proofErr w:type="spellEnd"/>
      <w:r w:rsidRPr="00F9625C">
        <w:rPr>
          <w:rFonts w:cs="Arial"/>
          <w:sz w:val="22"/>
          <w:szCs w:val="22"/>
        </w:rPr>
        <w:t xml:space="preserve"> </w:t>
      </w:r>
      <w:proofErr w:type="spellStart"/>
      <w:r w:rsidRPr="00F9625C">
        <w:rPr>
          <w:rFonts w:cs="Arial"/>
          <w:sz w:val="22"/>
          <w:szCs w:val="22"/>
        </w:rPr>
        <w:t>governance</w:t>
      </w:r>
      <w:proofErr w:type="spellEnd"/>
      <w:r w:rsidRPr="00F9625C">
        <w:rPr>
          <w:rFonts w:cs="Arial"/>
          <w:sz w:val="22"/>
          <w:szCs w:val="22"/>
        </w:rPr>
        <w:t xml:space="preserve"> and </w:t>
      </w:r>
      <w:proofErr w:type="spellStart"/>
      <w:r w:rsidRPr="00F9625C">
        <w:rPr>
          <w:rFonts w:cs="Arial"/>
          <w:sz w:val="22"/>
          <w:szCs w:val="22"/>
        </w:rPr>
        <w:t>mining</w:t>
      </w:r>
      <w:proofErr w:type="spellEnd"/>
      <w:r w:rsidRPr="00F9625C">
        <w:rPr>
          <w:rFonts w:cs="Arial"/>
          <w:sz w:val="22"/>
          <w:szCs w:val="22"/>
        </w:rPr>
        <w:t xml:space="preserve"> </w:t>
      </w:r>
      <w:proofErr w:type="spellStart"/>
      <w:r w:rsidRPr="00F9625C">
        <w:rPr>
          <w:rFonts w:cs="Arial"/>
          <w:sz w:val="22"/>
          <w:szCs w:val="22"/>
        </w:rPr>
        <w:t>regulation</w:t>
      </w:r>
      <w:proofErr w:type="spellEnd"/>
      <w:r w:rsidRPr="00F9625C">
        <w:rPr>
          <w:rFonts w:cs="Arial"/>
          <w:sz w:val="22"/>
          <w:szCs w:val="22"/>
        </w:rPr>
        <w:t xml:space="preserve">. The </w:t>
      </w:r>
      <w:proofErr w:type="spellStart"/>
      <w:r w:rsidRPr="00F9625C">
        <w:rPr>
          <w:rFonts w:cs="Arial"/>
          <w:sz w:val="22"/>
          <w:szCs w:val="22"/>
        </w:rPr>
        <w:t>database</w:t>
      </w:r>
      <w:proofErr w:type="spellEnd"/>
      <w:r w:rsidRPr="00F9625C">
        <w:rPr>
          <w:rFonts w:cs="Arial"/>
          <w:sz w:val="22"/>
          <w:szCs w:val="22"/>
        </w:rPr>
        <w:t xml:space="preserve"> </w:t>
      </w:r>
      <w:proofErr w:type="spellStart"/>
      <w:r w:rsidRPr="00F9625C">
        <w:rPr>
          <w:rFonts w:cs="Arial"/>
          <w:sz w:val="22"/>
          <w:szCs w:val="22"/>
        </w:rPr>
        <w:t>represents</w:t>
      </w:r>
      <w:proofErr w:type="spellEnd"/>
      <w:r w:rsidRPr="00F9625C">
        <w:rPr>
          <w:rFonts w:cs="Arial"/>
          <w:sz w:val="22"/>
          <w:szCs w:val="22"/>
        </w:rPr>
        <w:t xml:space="preserve"> 39 </w:t>
      </w:r>
      <w:proofErr w:type="spellStart"/>
      <w:r w:rsidRPr="00F9625C">
        <w:rPr>
          <w:rFonts w:cs="Arial"/>
          <w:sz w:val="22"/>
          <w:szCs w:val="22"/>
        </w:rPr>
        <w:t>unique</w:t>
      </w:r>
      <w:proofErr w:type="spellEnd"/>
      <w:r w:rsidRPr="00F9625C">
        <w:rPr>
          <w:rFonts w:cs="Arial"/>
          <w:sz w:val="22"/>
          <w:szCs w:val="22"/>
        </w:rPr>
        <w:t xml:space="preserve"> </w:t>
      </w:r>
      <w:proofErr w:type="spellStart"/>
      <w:r w:rsidRPr="00F9625C">
        <w:rPr>
          <w:rFonts w:cs="Arial"/>
          <w:sz w:val="22"/>
          <w:szCs w:val="22"/>
        </w:rPr>
        <w:t>publications</w:t>
      </w:r>
      <w:proofErr w:type="spellEnd"/>
      <w:r w:rsidRPr="00F9625C">
        <w:rPr>
          <w:rFonts w:cs="Arial"/>
          <w:sz w:val="22"/>
          <w:szCs w:val="22"/>
        </w:rPr>
        <w:t xml:space="preserve"> </w:t>
      </w:r>
      <w:proofErr w:type="spellStart"/>
      <w:r w:rsidRPr="00F9625C">
        <w:rPr>
          <w:rFonts w:cs="Arial"/>
          <w:sz w:val="22"/>
          <w:szCs w:val="22"/>
        </w:rPr>
        <w:t>because</w:t>
      </w:r>
      <w:proofErr w:type="spellEnd"/>
      <w:r w:rsidRPr="00F9625C">
        <w:rPr>
          <w:rFonts w:cs="Arial"/>
          <w:sz w:val="22"/>
          <w:szCs w:val="22"/>
        </w:rPr>
        <w:t xml:space="preserve"> </w:t>
      </w:r>
      <w:proofErr w:type="spellStart"/>
      <w:r w:rsidRPr="00F9625C">
        <w:rPr>
          <w:rFonts w:cs="Arial"/>
          <w:sz w:val="22"/>
          <w:szCs w:val="22"/>
        </w:rPr>
        <w:t>one</w:t>
      </w:r>
      <w:proofErr w:type="spellEnd"/>
      <w:r w:rsidRPr="00F9625C">
        <w:rPr>
          <w:rFonts w:cs="Arial"/>
          <w:sz w:val="22"/>
          <w:szCs w:val="22"/>
        </w:rPr>
        <w:t xml:space="preserve"> </w:t>
      </w:r>
      <w:proofErr w:type="spellStart"/>
      <w:r w:rsidRPr="00F9625C">
        <w:rPr>
          <w:rFonts w:cs="Arial"/>
          <w:sz w:val="22"/>
          <w:szCs w:val="22"/>
        </w:rPr>
        <w:t>international</w:t>
      </w:r>
      <w:proofErr w:type="spellEnd"/>
      <w:r w:rsidRPr="00F9625C">
        <w:rPr>
          <w:rFonts w:cs="Arial"/>
          <w:sz w:val="22"/>
          <w:szCs w:val="22"/>
        </w:rPr>
        <w:t xml:space="preserve"> </w:t>
      </w:r>
      <w:proofErr w:type="spellStart"/>
      <w:r w:rsidRPr="00F9625C">
        <w:rPr>
          <w:rFonts w:cs="Arial"/>
          <w:sz w:val="22"/>
          <w:szCs w:val="22"/>
        </w:rPr>
        <w:t>reference</w:t>
      </w:r>
      <w:proofErr w:type="spellEnd"/>
      <w:r w:rsidRPr="00F9625C">
        <w:rPr>
          <w:rFonts w:cs="Arial"/>
          <w:sz w:val="22"/>
          <w:szCs w:val="22"/>
        </w:rPr>
        <w:t xml:space="preserve"> </w:t>
      </w:r>
      <w:proofErr w:type="spellStart"/>
      <w:r w:rsidRPr="00F9625C">
        <w:rPr>
          <w:rFonts w:cs="Arial"/>
          <w:sz w:val="22"/>
          <w:szCs w:val="22"/>
        </w:rPr>
        <w:t>was</w:t>
      </w:r>
      <w:proofErr w:type="spellEnd"/>
      <w:r w:rsidRPr="00F9625C">
        <w:rPr>
          <w:rFonts w:cs="Arial"/>
          <w:sz w:val="22"/>
          <w:szCs w:val="22"/>
        </w:rPr>
        <w:t xml:space="preserve"> </w:t>
      </w:r>
      <w:proofErr w:type="spellStart"/>
      <w:r w:rsidRPr="00F9625C">
        <w:rPr>
          <w:rFonts w:cs="Arial"/>
          <w:sz w:val="22"/>
          <w:szCs w:val="22"/>
        </w:rPr>
        <w:t>duplicated</w:t>
      </w:r>
      <w:proofErr w:type="spellEnd"/>
      <w:r w:rsidRPr="00F9625C">
        <w:rPr>
          <w:rFonts w:cs="Arial"/>
          <w:sz w:val="22"/>
          <w:szCs w:val="22"/>
        </w:rPr>
        <w:t xml:space="preserve">; to preserve </w:t>
      </w:r>
      <w:proofErr w:type="spellStart"/>
      <w:r w:rsidRPr="00F9625C">
        <w:rPr>
          <w:rFonts w:cs="Arial"/>
          <w:sz w:val="22"/>
          <w:szCs w:val="22"/>
        </w:rPr>
        <w:t>traceability</w:t>
      </w:r>
      <w:proofErr w:type="spellEnd"/>
      <w:r w:rsidRPr="00F9625C">
        <w:rPr>
          <w:rFonts w:cs="Arial"/>
          <w:sz w:val="22"/>
          <w:szCs w:val="22"/>
        </w:rPr>
        <w:t xml:space="preserve">, the main </w:t>
      </w:r>
      <w:proofErr w:type="spellStart"/>
      <w:r w:rsidRPr="00F9625C">
        <w:rPr>
          <w:rFonts w:cs="Arial"/>
          <w:sz w:val="22"/>
          <w:szCs w:val="22"/>
        </w:rPr>
        <w:t>descriptive</w:t>
      </w:r>
      <w:proofErr w:type="spellEnd"/>
      <w:r w:rsidRPr="00F9625C">
        <w:rPr>
          <w:rFonts w:cs="Arial"/>
          <w:sz w:val="22"/>
          <w:szCs w:val="22"/>
        </w:rPr>
        <w:t xml:space="preserve"> </w:t>
      </w:r>
      <w:proofErr w:type="spellStart"/>
      <w:r w:rsidRPr="00F9625C">
        <w:rPr>
          <w:rFonts w:cs="Arial"/>
          <w:sz w:val="22"/>
          <w:szCs w:val="22"/>
        </w:rPr>
        <w:t>statistics</w:t>
      </w:r>
      <w:proofErr w:type="spellEnd"/>
      <w:r w:rsidRPr="00F9625C">
        <w:rPr>
          <w:rFonts w:cs="Arial"/>
          <w:sz w:val="22"/>
          <w:szCs w:val="22"/>
        </w:rPr>
        <w:t xml:space="preserve"> are </w:t>
      </w:r>
      <w:proofErr w:type="spellStart"/>
      <w:r w:rsidRPr="00F9625C">
        <w:rPr>
          <w:rFonts w:cs="Arial"/>
          <w:sz w:val="22"/>
          <w:szCs w:val="22"/>
        </w:rPr>
        <w:t>reported</w:t>
      </w:r>
      <w:proofErr w:type="spellEnd"/>
      <w:r w:rsidRPr="00F9625C">
        <w:rPr>
          <w:rFonts w:cs="Arial"/>
          <w:sz w:val="22"/>
          <w:szCs w:val="22"/>
        </w:rPr>
        <w:t xml:space="preserve"> </w:t>
      </w:r>
      <w:proofErr w:type="spellStart"/>
      <w:r w:rsidRPr="00F9625C">
        <w:rPr>
          <w:rFonts w:cs="Arial"/>
          <w:sz w:val="22"/>
          <w:szCs w:val="22"/>
        </w:rPr>
        <w:t>over</w:t>
      </w:r>
      <w:proofErr w:type="spellEnd"/>
      <w:r w:rsidRPr="00F9625C">
        <w:rPr>
          <w:rFonts w:cs="Arial"/>
          <w:sz w:val="22"/>
          <w:szCs w:val="22"/>
        </w:rPr>
        <w:t xml:space="preserve"> the 40 records and the </w:t>
      </w:r>
      <w:proofErr w:type="spellStart"/>
      <w:r w:rsidRPr="00F9625C">
        <w:rPr>
          <w:rFonts w:cs="Arial"/>
          <w:sz w:val="22"/>
          <w:szCs w:val="22"/>
        </w:rPr>
        <w:t>duplication</w:t>
      </w:r>
      <w:proofErr w:type="spellEnd"/>
      <w:r w:rsidRPr="00F9625C">
        <w:rPr>
          <w:rFonts w:cs="Arial"/>
          <w:sz w:val="22"/>
          <w:szCs w:val="22"/>
        </w:rPr>
        <w:t xml:space="preserve"> </w:t>
      </w:r>
      <w:proofErr w:type="spellStart"/>
      <w:r w:rsidRPr="00F9625C">
        <w:rPr>
          <w:rFonts w:cs="Arial"/>
          <w:sz w:val="22"/>
          <w:szCs w:val="22"/>
        </w:rPr>
        <w:t>is</w:t>
      </w:r>
      <w:proofErr w:type="spellEnd"/>
      <w:r w:rsidRPr="00F9625C">
        <w:rPr>
          <w:rFonts w:cs="Arial"/>
          <w:sz w:val="22"/>
          <w:szCs w:val="22"/>
        </w:rPr>
        <w:t xml:space="preserve"> </w:t>
      </w:r>
      <w:proofErr w:type="spellStart"/>
      <w:r w:rsidRPr="00F9625C">
        <w:rPr>
          <w:rFonts w:cs="Arial"/>
          <w:sz w:val="22"/>
          <w:szCs w:val="22"/>
        </w:rPr>
        <w:t>expressly</w:t>
      </w:r>
      <w:proofErr w:type="spellEnd"/>
      <w:r w:rsidRPr="00F9625C">
        <w:rPr>
          <w:rFonts w:cs="Arial"/>
          <w:sz w:val="22"/>
          <w:szCs w:val="22"/>
        </w:rPr>
        <w:t xml:space="preserve"> </w:t>
      </w:r>
      <w:proofErr w:type="spellStart"/>
      <w:r w:rsidRPr="00F9625C">
        <w:rPr>
          <w:rFonts w:cs="Arial"/>
          <w:sz w:val="22"/>
          <w:szCs w:val="22"/>
        </w:rPr>
        <w:t>disclosed</w:t>
      </w:r>
      <w:proofErr w:type="spellEnd"/>
      <w:r w:rsidRPr="00F9625C">
        <w:rPr>
          <w:rFonts w:cs="Arial"/>
          <w:sz w:val="22"/>
          <w:szCs w:val="22"/>
        </w:rPr>
        <w:t xml:space="preserve">. A </w:t>
      </w:r>
      <w:proofErr w:type="spellStart"/>
      <w:r w:rsidRPr="00F9625C">
        <w:rPr>
          <w:rFonts w:cs="Arial"/>
          <w:sz w:val="22"/>
          <w:szCs w:val="22"/>
        </w:rPr>
        <w:t>qualitative</w:t>
      </w:r>
      <w:proofErr w:type="spellEnd"/>
      <w:r w:rsidRPr="00F9625C">
        <w:rPr>
          <w:rFonts w:cs="Arial"/>
          <w:sz w:val="22"/>
          <w:szCs w:val="22"/>
        </w:rPr>
        <w:t xml:space="preserve"> </w:t>
      </w:r>
      <w:proofErr w:type="spellStart"/>
      <w:r w:rsidRPr="00F9625C">
        <w:rPr>
          <w:rFonts w:cs="Arial"/>
          <w:sz w:val="22"/>
          <w:szCs w:val="22"/>
        </w:rPr>
        <w:t>documentary-analysis</w:t>
      </w:r>
      <w:proofErr w:type="spellEnd"/>
      <w:r w:rsidRPr="00F9625C">
        <w:rPr>
          <w:rFonts w:cs="Arial"/>
          <w:sz w:val="22"/>
          <w:szCs w:val="22"/>
        </w:rPr>
        <w:t xml:space="preserve"> </w:t>
      </w:r>
      <w:proofErr w:type="spellStart"/>
      <w:r w:rsidRPr="00F9625C">
        <w:rPr>
          <w:rFonts w:cs="Arial"/>
          <w:sz w:val="22"/>
          <w:szCs w:val="22"/>
        </w:rPr>
        <w:t>approach</w:t>
      </w:r>
      <w:proofErr w:type="spellEnd"/>
      <w:r w:rsidRPr="00F9625C">
        <w:rPr>
          <w:rFonts w:cs="Arial"/>
          <w:sz w:val="22"/>
          <w:szCs w:val="22"/>
        </w:rPr>
        <w:t xml:space="preserve"> </w:t>
      </w:r>
      <w:proofErr w:type="spellStart"/>
      <w:r w:rsidRPr="00F9625C">
        <w:rPr>
          <w:rFonts w:cs="Arial"/>
          <w:sz w:val="22"/>
          <w:szCs w:val="22"/>
        </w:rPr>
        <w:t>was</w:t>
      </w:r>
      <w:proofErr w:type="spellEnd"/>
      <w:r w:rsidRPr="00F9625C">
        <w:rPr>
          <w:rFonts w:cs="Arial"/>
          <w:sz w:val="22"/>
          <w:szCs w:val="22"/>
        </w:rPr>
        <w:t xml:space="preserve"> </w:t>
      </w:r>
      <w:proofErr w:type="spellStart"/>
      <w:r w:rsidRPr="00F9625C">
        <w:rPr>
          <w:rFonts w:cs="Arial"/>
          <w:sz w:val="22"/>
          <w:szCs w:val="22"/>
        </w:rPr>
        <w:t>combined</w:t>
      </w:r>
      <w:proofErr w:type="spellEnd"/>
      <w:r w:rsidRPr="00F9625C">
        <w:rPr>
          <w:rFonts w:cs="Arial"/>
          <w:sz w:val="22"/>
          <w:szCs w:val="22"/>
        </w:rPr>
        <w:t xml:space="preserve"> </w:t>
      </w:r>
      <w:proofErr w:type="spellStart"/>
      <w:r w:rsidRPr="00F9625C">
        <w:rPr>
          <w:rFonts w:cs="Arial"/>
          <w:sz w:val="22"/>
          <w:szCs w:val="22"/>
        </w:rPr>
        <w:t>with</w:t>
      </w:r>
      <w:proofErr w:type="spellEnd"/>
      <w:r w:rsidRPr="00F9625C">
        <w:rPr>
          <w:rFonts w:cs="Arial"/>
          <w:sz w:val="22"/>
          <w:szCs w:val="22"/>
        </w:rPr>
        <w:t xml:space="preserve"> </w:t>
      </w:r>
      <w:proofErr w:type="spellStart"/>
      <w:r w:rsidRPr="00F9625C">
        <w:rPr>
          <w:rFonts w:cs="Arial"/>
          <w:sz w:val="22"/>
          <w:szCs w:val="22"/>
        </w:rPr>
        <w:t>descriptive</w:t>
      </w:r>
      <w:proofErr w:type="spellEnd"/>
      <w:r w:rsidRPr="00F9625C">
        <w:rPr>
          <w:rFonts w:cs="Arial"/>
          <w:sz w:val="22"/>
          <w:szCs w:val="22"/>
        </w:rPr>
        <w:t xml:space="preserve"> </w:t>
      </w:r>
      <w:proofErr w:type="spellStart"/>
      <w:r w:rsidRPr="00F9625C">
        <w:rPr>
          <w:rFonts w:cs="Arial"/>
          <w:sz w:val="22"/>
          <w:szCs w:val="22"/>
        </w:rPr>
        <w:t>statistics</w:t>
      </w:r>
      <w:proofErr w:type="spellEnd"/>
      <w:r w:rsidRPr="00F9625C">
        <w:rPr>
          <w:rFonts w:cs="Arial"/>
          <w:sz w:val="22"/>
          <w:szCs w:val="22"/>
        </w:rPr>
        <w:t xml:space="preserve"> and </w:t>
      </w:r>
      <w:proofErr w:type="spellStart"/>
      <w:r w:rsidRPr="00F9625C">
        <w:rPr>
          <w:rFonts w:cs="Arial"/>
          <w:sz w:val="22"/>
          <w:szCs w:val="22"/>
        </w:rPr>
        <w:t>multi-label</w:t>
      </w:r>
      <w:proofErr w:type="spellEnd"/>
      <w:r w:rsidRPr="00F9625C">
        <w:rPr>
          <w:rFonts w:cs="Arial"/>
          <w:sz w:val="22"/>
          <w:szCs w:val="22"/>
        </w:rPr>
        <w:t xml:space="preserve"> </w:t>
      </w:r>
      <w:proofErr w:type="spellStart"/>
      <w:r w:rsidRPr="00F9625C">
        <w:rPr>
          <w:rFonts w:cs="Arial"/>
          <w:sz w:val="22"/>
          <w:szCs w:val="22"/>
        </w:rPr>
        <w:t>thematic</w:t>
      </w:r>
      <w:proofErr w:type="spellEnd"/>
      <w:r w:rsidRPr="00F9625C">
        <w:rPr>
          <w:rFonts w:cs="Arial"/>
          <w:sz w:val="22"/>
          <w:szCs w:val="22"/>
        </w:rPr>
        <w:t xml:space="preserve"> </w:t>
      </w:r>
      <w:proofErr w:type="spellStart"/>
      <w:r w:rsidRPr="00F9625C">
        <w:rPr>
          <w:rFonts w:cs="Arial"/>
          <w:sz w:val="22"/>
          <w:szCs w:val="22"/>
        </w:rPr>
        <w:t>coding</w:t>
      </w:r>
      <w:proofErr w:type="spellEnd"/>
      <w:r w:rsidRPr="00F9625C">
        <w:rPr>
          <w:rFonts w:cs="Arial"/>
          <w:sz w:val="22"/>
          <w:szCs w:val="22"/>
        </w:rPr>
        <w:t xml:space="preserve">. The </w:t>
      </w:r>
      <w:proofErr w:type="spellStart"/>
      <w:r w:rsidRPr="00F9625C">
        <w:rPr>
          <w:rFonts w:cs="Arial"/>
          <w:sz w:val="22"/>
          <w:szCs w:val="22"/>
        </w:rPr>
        <w:t>most</w:t>
      </w:r>
      <w:proofErr w:type="spellEnd"/>
      <w:r w:rsidRPr="00F9625C">
        <w:rPr>
          <w:rFonts w:cs="Arial"/>
          <w:sz w:val="22"/>
          <w:szCs w:val="22"/>
        </w:rPr>
        <w:t xml:space="preserve"> </w:t>
      </w:r>
      <w:proofErr w:type="spellStart"/>
      <w:r w:rsidRPr="00F9625C">
        <w:rPr>
          <w:rFonts w:cs="Arial"/>
          <w:sz w:val="22"/>
          <w:szCs w:val="22"/>
        </w:rPr>
        <w:t>frequent</w:t>
      </w:r>
      <w:proofErr w:type="spellEnd"/>
      <w:r w:rsidRPr="00F9625C">
        <w:rPr>
          <w:rFonts w:cs="Arial"/>
          <w:sz w:val="22"/>
          <w:szCs w:val="22"/>
        </w:rPr>
        <w:t xml:space="preserve"> </w:t>
      </w:r>
      <w:proofErr w:type="spellStart"/>
      <w:r w:rsidRPr="00F9625C">
        <w:rPr>
          <w:rFonts w:cs="Arial"/>
          <w:sz w:val="22"/>
          <w:szCs w:val="22"/>
        </w:rPr>
        <w:t>dimensions</w:t>
      </w:r>
      <w:proofErr w:type="spellEnd"/>
      <w:r w:rsidRPr="00F9625C">
        <w:rPr>
          <w:rFonts w:cs="Arial"/>
          <w:sz w:val="22"/>
          <w:szCs w:val="22"/>
        </w:rPr>
        <w:t xml:space="preserve"> </w:t>
      </w:r>
      <w:proofErr w:type="spellStart"/>
      <w:r w:rsidRPr="00F9625C">
        <w:rPr>
          <w:rFonts w:cs="Arial"/>
          <w:sz w:val="22"/>
          <w:szCs w:val="22"/>
        </w:rPr>
        <w:t>were</w:t>
      </w:r>
      <w:proofErr w:type="spellEnd"/>
      <w:r w:rsidRPr="00F9625C">
        <w:rPr>
          <w:rFonts w:cs="Arial"/>
          <w:sz w:val="22"/>
          <w:szCs w:val="22"/>
        </w:rPr>
        <w:t xml:space="preserve"> </w:t>
      </w:r>
      <w:proofErr w:type="spellStart"/>
      <w:r w:rsidRPr="00F9625C">
        <w:rPr>
          <w:rFonts w:cs="Arial"/>
          <w:sz w:val="22"/>
          <w:szCs w:val="22"/>
        </w:rPr>
        <w:t>governance</w:t>
      </w:r>
      <w:proofErr w:type="spellEnd"/>
      <w:r w:rsidRPr="00F9625C">
        <w:rPr>
          <w:rFonts w:cs="Arial"/>
          <w:sz w:val="22"/>
          <w:szCs w:val="22"/>
        </w:rPr>
        <w:t xml:space="preserve">, </w:t>
      </w:r>
      <w:proofErr w:type="spellStart"/>
      <w:r w:rsidRPr="00F9625C">
        <w:rPr>
          <w:rFonts w:cs="Arial"/>
          <w:sz w:val="22"/>
          <w:szCs w:val="22"/>
        </w:rPr>
        <w:t>institutions</w:t>
      </w:r>
      <w:proofErr w:type="spellEnd"/>
      <w:r w:rsidRPr="00F9625C">
        <w:rPr>
          <w:rFonts w:cs="Arial"/>
          <w:sz w:val="22"/>
          <w:szCs w:val="22"/>
        </w:rPr>
        <w:t xml:space="preserve"> and </w:t>
      </w:r>
      <w:proofErr w:type="spellStart"/>
      <w:r w:rsidRPr="00F9625C">
        <w:rPr>
          <w:rFonts w:cs="Arial"/>
          <w:sz w:val="22"/>
          <w:szCs w:val="22"/>
        </w:rPr>
        <w:t>enforcement</w:t>
      </w:r>
      <w:proofErr w:type="spellEnd"/>
      <w:r w:rsidRPr="00F9625C">
        <w:rPr>
          <w:rFonts w:cs="Arial"/>
          <w:sz w:val="22"/>
          <w:szCs w:val="22"/>
        </w:rPr>
        <w:t xml:space="preserve"> (75.0%), </w:t>
      </w:r>
      <w:proofErr w:type="spellStart"/>
      <w:r w:rsidRPr="00F9625C">
        <w:rPr>
          <w:rFonts w:cs="Arial"/>
          <w:sz w:val="22"/>
          <w:szCs w:val="22"/>
        </w:rPr>
        <w:t>regulatory</w:t>
      </w:r>
      <w:proofErr w:type="spellEnd"/>
      <w:r w:rsidRPr="00F9625C">
        <w:rPr>
          <w:rFonts w:cs="Arial"/>
          <w:sz w:val="22"/>
          <w:szCs w:val="22"/>
        </w:rPr>
        <w:t xml:space="preserve"> </w:t>
      </w:r>
      <w:proofErr w:type="spellStart"/>
      <w:r w:rsidRPr="00F9625C">
        <w:rPr>
          <w:rFonts w:cs="Arial"/>
          <w:sz w:val="22"/>
          <w:szCs w:val="22"/>
        </w:rPr>
        <w:t>effectiveness</w:t>
      </w:r>
      <w:proofErr w:type="spellEnd"/>
      <w:r w:rsidRPr="00F9625C">
        <w:rPr>
          <w:rFonts w:cs="Arial"/>
          <w:sz w:val="22"/>
          <w:szCs w:val="22"/>
        </w:rPr>
        <w:t xml:space="preserve">, </w:t>
      </w:r>
      <w:proofErr w:type="spellStart"/>
      <w:r w:rsidRPr="00F9625C">
        <w:rPr>
          <w:rFonts w:cs="Arial"/>
          <w:sz w:val="22"/>
          <w:szCs w:val="22"/>
        </w:rPr>
        <w:t>justice</w:t>
      </w:r>
      <w:proofErr w:type="spellEnd"/>
      <w:r w:rsidRPr="00F9625C">
        <w:rPr>
          <w:rFonts w:cs="Arial"/>
          <w:sz w:val="22"/>
          <w:szCs w:val="22"/>
        </w:rPr>
        <w:t xml:space="preserve"> and </w:t>
      </w:r>
      <w:proofErr w:type="spellStart"/>
      <w:r w:rsidRPr="00F9625C">
        <w:rPr>
          <w:rFonts w:cs="Arial"/>
          <w:sz w:val="22"/>
          <w:szCs w:val="22"/>
        </w:rPr>
        <w:t>jurisprudence</w:t>
      </w:r>
      <w:proofErr w:type="spellEnd"/>
      <w:r w:rsidRPr="00F9625C">
        <w:rPr>
          <w:rFonts w:cs="Arial"/>
          <w:sz w:val="22"/>
          <w:szCs w:val="22"/>
        </w:rPr>
        <w:t xml:space="preserve"> (75.0%), </w:t>
      </w:r>
      <w:proofErr w:type="spellStart"/>
      <w:r w:rsidRPr="00F9625C">
        <w:rPr>
          <w:rFonts w:cs="Arial"/>
          <w:sz w:val="22"/>
          <w:szCs w:val="22"/>
        </w:rPr>
        <w:t>illegal</w:t>
      </w:r>
      <w:proofErr w:type="spellEnd"/>
      <w:r w:rsidRPr="00F9625C">
        <w:rPr>
          <w:rFonts w:cs="Arial"/>
          <w:sz w:val="22"/>
          <w:szCs w:val="22"/>
        </w:rPr>
        <w:t xml:space="preserve">, informal </w:t>
      </w:r>
      <w:proofErr w:type="spellStart"/>
      <w:r w:rsidRPr="00F9625C">
        <w:rPr>
          <w:rFonts w:cs="Arial"/>
          <w:sz w:val="22"/>
          <w:szCs w:val="22"/>
        </w:rPr>
        <w:t>or</w:t>
      </w:r>
      <w:proofErr w:type="spellEnd"/>
      <w:r w:rsidRPr="00F9625C">
        <w:rPr>
          <w:rFonts w:cs="Arial"/>
          <w:sz w:val="22"/>
          <w:szCs w:val="22"/>
        </w:rPr>
        <w:t xml:space="preserve"> criminal </w:t>
      </w:r>
      <w:proofErr w:type="spellStart"/>
      <w:r w:rsidRPr="00F9625C">
        <w:rPr>
          <w:rFonts w:cs="Arial"/>
          <w:sz w:val="22"/>
          <w:szCs w:val="22"/>
        </w:rPr>
        <w:t>mining</w:t>
      </w:r>
      <w:proofErr w:type="spellEnd"/>
      <w:r w:rsidRPr="00F9625C">
        <w:rPr>
          <w:rFonts w:cs="Arial"/>
          <w:sz w:val="22"/>
          <w:szCs w:val="22"/>
        </w:rPr>
        <w:t xml:space="preserve"> (62.5%), </w:t>
      </w:r>
      <w:proofErr w:type="spellStart"/>
      <w:r w:rsidRPr="00F9625C">
        <w:rPr>
          <w:rFonts w:cs="Arial"/>
          <w:sz w:val="22"/>
          <w:szCs w:val="22"/>
        </w:rPr>
        <w:t>participation</w:t>
      </w:r>
      <w:proofErr w:type="spellEnd"/>
      <w:r w:rsidRPr="00F9625C">
        <w:rPr>
          <w:rFonts w:cs="Arial"/>
          <w:sz w:val="22"/>
          <w:szCs w:val="22"/>
        </w:rPr>
        <w:t xml:space="preserve">, </w:t>
      </w:r>
      <w:proofErr w:type="spellStart"/>
      <w:r w:rsidRPr="00F9625C">
        <w:rPr>
          <w:rFonts w:cs="Arial"/>
          <w:sz w:val="22"/>
          <w:szCs w:val="22"/>
        </w:rPr>
        <w:t>consultation</w:t>
      </w:r>
      <w:proofErr w:type="spellEnd"/>
      <w:r w:rsidRPr="00F9625C">
        <w:rPr>
          <w:rFonts w:cs="Arial"/>
          <w:sz w:val="22"/>
          <w:szCs w:val="22"/>
        </w:rPr>
        <w:t xml:space="preserve"> and </w:t>
      </w:r>
      <w:proofErr w:type="spellStart"/>
      <w:r w:rsidRPr="00F9625C">
        <w:rPr>
          <w:rFonts w:cs="Arial"/>
          <w:sz w:val="22"/>
          <w:szCs w:val="22"/>
        </w:rPr>
        <w:t>environmental</w:t>
      </w:r>
      <w:proofErr w:type="spellEnd"/>
      <w:r w:rsidRPr="00F9625C">
        <w:rPr>
          <w:rFonts w:cs="Arial"/>
          <w:sz w:val="22"/>
          <w:szCs w:val="22"/>
        </w:rPr>
        <w:t xml:space="preserve"> </w:t>
      </w:r>
      <w:proofErr w:type="spellStart"/>
      <w:r w:rsidRPr="00F9625C">
        <w:rPr>
          <w:rFonts w:cs="Arial"/>
          <w:sz w:val="22"/>
          <w:szCs w:val="22"/>
        </w:rPr>
        <w:t>justice</w:t>
      </w:r>
      <w:proofErr w:type="spellEnd"/>
      <w:r w:rsidRPr="00F9625C">
        <w:rPr>
          <w:rFonts w:cs="Arial"/>
          <w:sz w:val="22"/>
          <w:szCs w:val="22"/>
        </w:rPr>
        <w:t xml:space="preserve"> (52.5%), and </w:t>
      </w:r>
      <w:proofErr w:type="spellStart"/>
      <w:r w:rsidRPr="00F9625C">
        <w:rPr>
          <w:rFonts w:cs="Arial"/>
          <w:sz w:val="22"/>
          <w:szCs w:val="22"/>
        </w:rPr>
        <w:t>water</w:t>
      </w:r>
      <w:proofErr w:type="spellEnd"/>
      <w:r w:rsidRPr="00F9625C">
        <w:rPr>
          <w:rFonts w:cs="Arial"/>
          <w:sz w:val="22"/>
          <w:szCs w:val="22"/>
        </w:rPr>
        <w:t xml:space="preserve">, </w:t>
      </w:r>
      <w:proofErr w:type="spellStart"/>
      <w:r w:rsidRPr="00F9625C">
        <w:rPr>
          <w:rFonts w:cs="Arial"/>
          <w:sz w:val="22"/>
          <w:szCs w:val="22"/>
        </w:rPr>
        <w:t>mercury</w:t>
      </w:r>
      <w:proofErr w:type="spellEnd"/>
      <w:r w:rsidRPr="00F9625C">
        <w:rPr>
          <w:rFonts w:cs="Arial"/>
          <w:sz w:val="22"/>
          <w:szCs w:val="22"/>
        </w:rPr>
        <w:t xml:space="preserve"> and </w:t>
      </w:r>
      <w:proofErr w:type="spellStart"/>
      <w:r w:rsidRPr="00F9625C">
        <w:rPr>
          <w:rFonts w:cs="Arial"/>
          <w:sz w:val="22"/>
          <w:szCs w:val="22"/>
        </w:rPr>
        <w:t>water</w:t>
      </w:r>
      <w:proofErr w:type="spellEnd"/>
      <w:r w:rsidRPr="00F9625C">
        <w:rPr>
          <w:rFonts w:cs="Arial"/>
          <w:sz w:val="22"/>
          <w:szCs w:val="22"/>
        </w:rPr>
        <w:t xml:space="preserve"> </w:t>
      </w:r>
      <w:proofErr w:type="spellStart"/>
      <w:r w:rsidRPr="00F9625C">
        <w:rPr>
          <w:rFonts w:cs="Arial"/>
          <w:sz w:val="22"/>
          <w:szCs w:val="22"/>
        </w:rPr>
        <w:t>resources</w:t>
      </w:r>
      <w:proofErr w:type="spellEnd"/>
      <w:r w:rsidRPr="00F9625C">
        <w:rPr>
          <w:rFonts w:cs="Arial"/>
          <w:sz w:val="22"/>
          <w:szCs w:val="22"/>
        </w:rPr>
        <w:t xml:space="preserve"> (47.5%). </w:t>
      </w:r>
      <w:proofErr w:type="spellStart"/>
      <w:r w:rsidRPr="00F9625C">
        <w:rPr>
          <w:rFonts w:cs="Arial"/>
          <w:sz w:val="22"/>
          <w:szCs w:val="22"/>
        </w:rPr>
        <w:t>Explicit</w:t>
      </w:r>
      <w:proofErr w:type="spellEnd"/>
      <w:r w:rsidRPr="00F9625C">
        <w:rPr>
          <w:rFonts w:cs="Arial"/>
          <w:sz w:val="22"/>
          <w:szCs w:val="22"/>
        </w:rPr>
        <w:t xml:space="preserve"> </w:t>
      </w:r>
      <w:proofErr w:type="spellStart"/>
      <w:r w:rsidRPr="00F9625C">
        <w:rPr>
          <w:rFonts w:cs="Arial"/>
          <w:sz w:val="22"/>
          <w:szCs w:val="22"/>
        </w:rPr>
        <w:t>rights</w:t>
      </w:r>
      <w:proofErr w:type="spellEnd"/>
      <w:r w:rsidRPr="00F9625C">
        <w:rPr>
          <w:rFonts w:cs="Arial"/>
          <w:sz w:val="22"/>
          <w:szCs w:val="22"/>
        </w:rPr>
        <w:t>-of-</w:t>
      </w:r>
      <w:proofErr w:type="spellStart"/>
      <w:r w:rsidRPr="00F9625C">
        <w:rPr>
          <w:rFonts w:cs="Arial"/>
          <w:sz w:val="22"/>
          <w:szCs w:val="22"/>
        </w:rPr>
        <w:t>nature</w:t>
      </w:r>
      <w:proofErr w:type="spellEnd"/>
      <w:r w:rsidRPr="00F9625C">
        <w:rPr>
          <w:rFonts w:cs="Arial"/>
          <w:sz w:val="22"/>
          <w:szCs w:val="22"/>
        </w:rPr>
        <w:t xml:space="preserve"> </w:t>
      </w:r>
      <w:proofErr w:type="spellStart"/>
      <w:r w:rsidRPr="00F9625C">
        <w:rPr>
          <w:rFonts w:cs="Arial"/>
          <w:sz w:val="22"/>
          <w:szCs w:val="22"/>
        </w:rPr>
        <w:t>or</w:t>
      </w:r>
      <w:proofErr w:type="spellEnd"/>
      <w:r w:rsidRPr="00F9625C">
        <w:rPr>
          <w:rFonts w:cs="Arial"/>
          <w:sz w:val="22"/>
          <w:szCs w:val="22"/>
        </w:rPr>
        <w:t xml:space="preserve"> </w:t>
      </w:r>
      <w:proofErr w:type="spellStart"/>
      <w:r w:rsidRPr="00F9625C">
        <w:rPr>
          <w:rFonts w:cs="Arial"/>
          <w:sz w:val="22"/>
          <w:szCs w:val="22"/>
        </w:rPr>
        <w:t>ecocentric</w:t>
      </w:r>
      <w:proofErr w:type="spellEnd"/>
      <w:r w:rsidRPr="00F9625C">
        <w:rPr>
          <w:rFonts w:cs="Arial"/>
          <w:sz w:val="22"/>
          <w:szCs w:val="22"/>
        </w:rPr>
        <w:t xml:space="preserve"> </w:t>
      </w:r>
      <w:proofErr w:type="spellStart"/>
      <w:r w:rsidRPr="00F9625C">
        <w:rPr>
          <w:rFonts w:cs="Arial"/>
          <w:sz w:val="22"/>
          <w:szCs w:val="22"/>
        </w:rPr>
        <w:t>approaches</w:t>
      </w:r>
      <w:proofErr w:type="spellEnd"/>
      <w:r w:rsidRPr="00F9625C">
        <w:rPr>
          <w:rFonts w:cs="Arial"/>
          <w:sz w:val="22"/>
          <w:szCs w:val="22"/>
        </w:rPr>
        <w:t xml:space="preserve"> </w:t>
      </w:r>
      <w:proofErr w:type="spellStart"/>
      <w:r w:rsidRPr="00F9625C">
        <w:rPr>
          <w:rFonts w:cs="Arial"/>
          <w:sz w:val="22"/>
          <w:szCs w:val="22"/>
        </w:rPr>
        <w:t>appeared</w:t>
      </w:r>
      <w:proofErr w:type="spellEnd"/>
      <w:r w:rsidRPr="00F9625C">
        <w:rPr>
          <w:rFonts w:cs="Arial"/>
          <w:sz w:val="22"/>
          <w:szCs w:val="22"/>
        </w:rPr>
        <w:t xml:space="preserve"> in 40.0% of the records. International </w:t>
      </w:r>
      <w:proofErr w:type="spellStart"/>
      <w:r w:rsidRPr="00F9625C">
        <w:rPr>
          <w:rFonts w:cs="Arial"/>
          <w:sz w:val="22"/>
          <w:szCs w:val="22"/>
        </w:rPr>
        <w:t>literature</w:t>
      </w:r>
      <w:proofErr w:type="spellEnd"/>
      <w:r w:rsidRPr="00F9625C">
        <w:rPr>
          <w:rFonts w:cs="Arial"/>
          <w:sz w:val="22"/>
          <w:szCs w:val="22"/>
        </w:rPr>
        <w:t xml:space="preserve"> more </w:t>
      </w:r>
      <w:proofErr w:type="spellStart"/>
      <w:r w:rsidRPr="00F9625C">
        <w:rPr>
          <w:rFonts w:cs="Arial"/>
          <w:sz w:val="22"/>
          <w:szCs w:val="22"/>
        </w:rPr>
        <w:t>frequently</w:t>
      </w:r>
      <w:proofErr w:type="spellEnd"/>
      <w:r w:rsidRPr="00F9625C">
        <w:rPr>
          <w:rFonts w:cs="Arial"/>
          <w:sz w:val="22"/>
          <w:szCs w:val="22"/>
        </w:rPr>
        <w:t xml:space="preserve"> </w:t>
      </w:r>
      <w:proofErr w:type="spellStart"/>
      <w:r w:rsidRPr="00F9625C">
        <w:rPr>
          <w:rFonts w:cs="Arial"/>
          <w:sz w:val="22"/>
          <w:szCs w:val="22"/>
        </w:rPr>
        <w:t>develops</w:t>
      </w:r>
      <w:proofErr w:type="spellEnd"/>
      <w:r w:rsidRPr="00F9625C">
        <w:rPr>
          <w:rFonts w:cs="Arial"/>
          <w:sz w:val="22"/>
          <w:szCs w:val="22"/>
        </w:rPr>
        <w:t xml:space="preserve"> </w:t>
      </w:r>
      <w:proofErr w:type="spellStart"/>
      <w:r w:rsidRPr="00F9625C">
        <w:rPr>
          <w:rFonts w:cs="Arial"/>
          <w:sz w:val="22"/>
          <w:szCs w:val="22"/>
        </w:rPr>
        <w:t>ecocentric</w:t>
      </w:r>
      <w:proofErr w:type="spellEnd"/>
      <w:r w:rsidRPr="00F9625C">
        <w:rPr>
          <w:rFonts w:cs="Arial"/>
          <w:sz w:val="22"/>
          <w:szCs w:val="22"/>
        </w:rPr>
        <w:t xml:space="preserve"> </w:t>
      </w:r>
      <w:proofErr w:type="spellStart"/>
      <w:r w:rsidRPr="00F9625C">
        <w:rPr>
          <w:rFonts w:cs="Arial"/>
          <w:sz w:val="22"/>
          <w:szCs w:val="22"/>
        </w:rPr>
        <w:t>foundations</w:t>
      </w:r>
      <w:proofErr w:type="spellEnd"/>
      <w:r w:rsidRPr="00F9625C">
        <w:rPr>
          <w:rFonts w:cs="Arial"/>
          <w:sz w:val="22"/>
          <w:szCs w:val="22"/>
        </w:rPr>
        <w:t xml:space="preserve">, </w:t>
      </w:r>
      <w:proofErr w:type="spellStart"/>
      <w:r w:rsidRPr="00F9625C">
        <w:rPr>
          <w:rFonts w:cs="Arial"/>
          <w:sz w:val="22"/>
          <w:szCs w:val="22"/>
        </w:rPr>
        <w:t>jurisprudence</w:t>
      </w:r>
      <w:proofErr w:type="spellEnd"/>
      <w:r w:rsidRPr="00F9625C">
        <w:rPr>
          <w:rFonts w:cs="Arial"/>
          <w:sz w:val="22"/>
          <w:szCs w:val="22"/>
        </w:rPr>
        <w:t xml:space="preserve"> and </w:t>
      </w:r>
      <w:proofErr w:type="spellStart"/>
      <w:r w:rsidRPr="00F9625C">
        <w:rPr>
          <w:rFonts w:cs="Arial"/>
          <w:sz w:val="22"/>
          <w:szCs w:val="22"/>
        </w:rPr>
        <w:t>Indigenous</w:t>
      </w:r>
      <w:proofErr w:type="spellEnd"/>
      <w:r w:rsidRPr="00F9625C">
        <w:rPr>
          <w:rFonts w:cs="Arial"/>
          <w:sz w:val="22"/>
          <w:szCs w:val="22"/>
        </w:rPr>
        <w:t xml:space="preserve"> </w:t>
      </w:r>
      <w:proofErr w:type="spellStart"/>
      <w:r w:rsidRPr="00F9625C">
        <w:rPr>
          <w:rFonts w:cs="Arial"/>
          <w:sz w:val="22"/>
          <w:szCs w:val="22"/>
        </w:rPr>
        <w:t>rights</w:t>
      </w:r>
      <w:proofErr w:type="spellEnd"/>
      <w:r w:rsidRPr="00F9625C">
        <w:rPr>
          <w:rFonts w:cs="Arial"/>
          <w:sz w:val="22"/>
          <w:szCs w:val="22"/>
        </w:rPr>
        <w:t xml:space="preserve">, </w:t>
      </w:r>
      <w:proofErr w:type="spellStart"/>
      <w:r w:rsidRPr="00F9625C">
        <w:rPr>
          <w:rFonts w:cs="Arial"/>
          <w:sz w:val="22"/>
          <w:szCs w:val="22"/>
        </w:rPr>
        <w:t>while</w:t>
      </w:r>
      <w:proofErr w:type="spellEnd"/>
      <w:r w:rsidRPr="00F9625C">
        <w:rPr>
          <w:rFonts w:cs="Arial"/>
          <w:sz w:val="22"/>
          <w:szCs w:val="22"/>
        </w:rPr>
        <w:t xml:space="preserve"> </w:t>
      </w:r>
      <w:proofErr w:type="spellStart"/>
      <w:r w:rsidRPr="00F9625C">
        <w:rPr>
          <w:rFonts w:cs="Arial"/>
          <w:sz w:val="22"/>
          <w:szCs w:val="22"/>
        </w:rPr>
        <w:t>Peruvian</w:t>
      </w:r>
      <w:proofErr w:type="spellEnd"/>
      <w:r w:rsidRPr="00F9625C">
        <w:rPr>
          <w:rFonts w:cs="Arial"/>
          <w:sz w:val="22"/>
          <w:szCs w:val="22"/>
        </w:rPr>
        <w:t xml:space="preserve"> </w:t>
      </w:r>
      <w:proofErr w:type="spellStart"/>
      <w:r w:rsidRPr="00F9625C">
        <w:rPr>
          <w:rFonts w:cs="Arial"/>
          <w:sz w:val="22"/>
          <w:szCs w:val="22"/>
        </w:rPr>
        <w:t>literature</w:t>
      </w:r>
      <w:proofErr w:type="spellEnd"/>
      <w:r w:rsidRPr="00F9625C">
        <w:rPr>
          <w:rFonts w:cs="Arial"/>
          <w:sz w:val="22"/>
          <w:szCs w:val="22"/>
        </w:rPr>
        <w:t xml:space="preserve"> </w:t>
      </w:r>
      <w:proofErr w:type="spellStart"/>
      <w:r w:rsidRPr="00F9625C">
        <w:rPr>
          <w:rFonts w:cs="Arial"/>
          <w:sz w:val="22"/>
          <w:szCs w:val="22"/>
        </w:rPr>
        <w:t>is</w:t>
      </w:r>
      <w:proofErr w:type="spellEnd"/>
      <w:r w:rsidRPr="00F9625C">
        <w:rPr>
          <w:rFonts w:cs="Arial"/>
          <w:sz w:val="22"/>
          <w:szCs w:val="22"/>
        </w:rPr>
        <w:t xml:space="preserve"> more </w:t>
      </w:r>
      <w:proofErr w:type="spellStart"/>
      <w:r w:rsidRPr="00F9625C">
        <w:rPr>
          <w:rFonts w:cs="Arial"/>
          <w:sz w:val="22"/>
          <w:szCs w:val="22"/>
        </w:rPr>
        <w:t>concentrated</w:t>
      </w:r>
      <w:proofErr w:type="spellEnd"/>
      <w:r w:rsidRPr="00F9625C">
        <w:rPr>
          <w:rFonts w:cs="Arial"/>
          <w:sz w:val="22"/>
          <w:szCs w:val="22"/>
        </w:rPr>
        <w:t xml:space="preserve"> on </w:t>
      </w:r>
      <w:proofErr w:type="spellStart"/>
      <w:r w:rsidRPr="00F9625C">
        <w:rPr>
          <w:rFonts w:cs="Arial"/>
          <w:sz w:val="22"/>
          <w:szCs w:val="22"/>
        </w:rPr>
        <w:t>formalization</w:t>
      </w:r>
      <w:proofErr w:type="spellEnd"/>
      <w:r w:rsidRPr="00F9625C">
        <w:rPr>
          <w:rFonts w:cs="Arial"/>
          <w:sz w:val="22"/>
          <w:szCs w:val="22"/>
        </w:rPr>
        <w:t xml:space="preserve">, </w:t>
      </w:r>
      <w:proofErr w:type="spellStart"/>
      <w:r w:rsidRPr="00F9625C">
        <w:rPr>
          <w:rFonts w:cs="Arial"/>
          <w:sz w:val="22"/>
          <w:szCs w:val="22"/>
        </w:rPr>
        <w:t>state</w:t>
      </w:r>
      <w:proofErr w:type="spellEnd"/>
      <w:r w:rsidRPr="00F9625C">
        <w:rPr>
          <w:rFonts w:cs="Arial"/>
          <w:sz w:val="22"/>
          <w:szCs w:val="22"/>
        </w:rPr>
        <w:t xml:space="preserve"> control, criminal </w:t>
      </w:r>
      <w:proofErr w:type="spellStart"/>
      <w:r w:rsidRPr="00F9625C">
        <w:rPr>
          <w:rFonts w:cs="Arial"/>
          <w:sz w:val="22"/>
          <w:szCs w:val="22"/>
        </w:rPr>
        <w:t>enforcement</w:t>
      </w:r>
      <w:proofErr w:type="spellEnd"/>
      <w:r w:rsidRPr="00F9625C">
        <w:rPr>
          <w:rFonts w:cs="Arial"/>
          <w:sz w:val="22"/>
          <w:szCs w:val="22"/>
        </w:rPr>
        <w:t xml:space="preserve">, </w:t>
      </w:r>
      <w:proofErr w:type="spellStart"/>
      <w:r w:rsidRPr="00F9625C">
        <w:rPr>
          <w:rFonts w:cs="Arial"/>
          <w:sz w:val="22"/>
          <w:szCs w:val="22"/>
        </w:rPr>
        <w:t>public</w:t>
      </w:r>
      <w:proofErr w:type="spellEnd"/>
      <w:r w:rsidRPr="00F9625C">
        <w:rPr>
          <w:rFonts w:cs="Arial"/>
          <w:sz w:val="22"/>
          <w:szCs w:val="22"/>
        </w:rPr>
        <w:t xml:space="preserve"> </w:t>
      </w:r>
      <w:proofErr w:type="spellStart"/>
      <w:r w:rsidRPr="00F9625C">
        <w:rPr>
          <w:rFonts w:cs="Arial"/>
          <w:sz w:val="22"/>
          <w:szCs w:val="22"/>
        </w:rPr>
        <w:t>management</w:t>
      </w:r>
      <w:proofErr w:type="spellEnd"/>
      <w:r w:rsidRPr="00F9625C">
        <w:rPr>
          <w:rFonts w:cs="Arial"/>
          <w:sz w:val="22"/>
          <w:szCs w:val="22"/>
        </w:rPr>
        <w:t xml:space="preserve"> and territorial </w:t>
      </w:r>
      <w:proofErr w:type="spellStart"/>
      <w:r w:rsidRPr="00F9625C">
        <w:rPr>
          <w:rFonts w:cs="Arial"/>
          <w:sz w:val="22"/>
          <w:szCs w:val="22"/>
        </w:rPr>
        <w:t>conflicts</w:t>
      </w:r>
      <w:proofErr w:type="spellEnd"/>
      <w:r w:rsidRPr="00F9625C">
        <w:rPr>
          <w:rFonts w:cs="Arial"/>
          <w:sz w:val="22"/>
          <w:szCs w:val="22"/>
        </w:rPr>
        <w:t xml:space="preserve">. The </w:t>
      </w:r>
      <w:proofErr w:type="spellStart"/>
      <w:r w:rsidRPr="00F9625C">
        <w:rPr>
          <w:rFonts w:cs="Arial"/>
          <w:sz w:val="22"/>
          <w:szCs w:val="22"/>
        </w:rPr>
        <w:t>review</w:t>
      </w:r>
      <w:proofErr w:type="spellEnd"/>
      <w:r w:rsidRPr="00F9625C">
        <w:rPr>
          <w:rFonts w:cs="Arial"/>
          <w:sz w:val="22"/>
          <w:szCs w:val="22"/>
        </w:rPr>
        <w:t xml:space="preserve"> </w:t>
      </w:r>
      <w:proofErr w:type="spellStart"/>
      <w:r w:rsidRPr="00F9625C">
        <w:rPr>
          <w:rFonts w:cs="Arial"/>
          <w:sz w:val="22"/>
          <w:szCs w:val="22"/>
        </w:rPr>
        <w:t>suggests</w:t>
      </w:r>
      <w:proofErr w:type="spellEnd"/>
      <w:r w:rsidRPr="00F9625C">
        <w:rPr>
          <w:rFonts w:cs="Arial"/>
          <w:sz w:val="22"/>
          <w:szCs w:val="22"/>
        </w:rPr>
        <w:t xml:space="preserve"> </w:t>
      </w:r>
      <w:proofErr w:type="spellStart"/>
      <w:r w:rsidRPr="00F9625C">
        <w:rPr>
          <w:rFonts w:cs="Arial"/>
          <w:sz w:val="22"/>
          <w:szCs w:val="22"/>
        </w:rPr>
        <w:t>that</w:t>
      </w:r>
      <w:proofErr w:type="spellEnd"/>
      <w:r w:rsidRPr="00F9625C">
        <w:rPr>
          <w:rFonts w:cs="Arial"/>
          <w:sz w:val="22"/>
          <w:szCs w:val="22"/>
        </w:rPr>
        <w:t xml:space="preserve"> the central </w:t>
      </w:r>
      <w:proofErr w:type="spellStart"/>
      <w:r w:rsidRPr="00F9625C">
        <w:rPr>
          <w:rFonts w:cs="Arial"/>
          <w:sz w:val="22"/>
          <w:szCs w:val="22"/>
        </w:rPr>
        <w:t>challenge</w:t>
      </w:r>
      <w:proofErr w:type="spellEnd"/>
      <w:r w:rsidRPr="00F9625C">
        <w:rPr>
          <w:rFonts w:cs="Arial"/>
          <w:sz w:val="22"/>
          <w:szCs w:val="22"/>
        </w:rPr>
        <w:t xml:space="preserve"> </w:t>
      </w:r>
      <w:proofErr w:type="spellStart"/>
      <w:r w:rsidRPr="00F9625C">
        <w:rPr>
          <w:rFonts w:cs="Arial"/>
          <w:sz w:val="22"/>
          <w:szCs w:val="22"/>
        </w:rPr>
        <w:t>is</w:t>
      </w:r>
      <w:proofErr w:type="spellEnd"/>
      <w:r w:rsidRPr="00F9625C">
        <w:rPr>
          <w:rFonts w:cs="Arial"/>
          <w:sz w:val="22"/>
          <w:szCs w:val="22"/>
        </w:rPr>
        <w:t xml:space="preserve"> </w:t>
      </w:r>
      <w:proofErr w:type="spellStart"/>
      <w:r w:rsidRPr="00F9625C">
        <w:rPr>
          <w:rFonts w:cs="Arial"/>
          <w:sz w:val="22"/>
          <w:szCs w:val="22"/>
        </w:rPr>
        <w:t>not</w:t>
      </w:r>
      <w:proofErr w:type="spellEnd"/>
      <w:r w:rsidRPr="00F9625C">
        <w:rPr>
          <w:rFonts w:cs="Arial"/>
          <w:sz w:val="22"/>
          <w:szCs w:val="22"/>
        </w:rPr>
        <w:t xml:space="preserve"> </w:t>
      </w:r>
      <w:proofErr w:type="spellStart"/>
      <w:r w:rsidRPr="00F9625C">
        <w:rPr>
          <w:rFonts w:cs="Arial"/>
          <w:sz w:val="22"/>
          <w:szCs w:val="22"/>
        </w:rPr>
        <w:t>merely</w:t>
      </w:r>
      <w:proofErr w:type="spellEnd"/>
      <w:r w:rsidRPr="00F9625C">
        <w:rPr>
          <w:rFonts w:cs="Arial"/>
          <w:sz w:val="22"/>
          <w:szCs w:val="22"/>
        </w:rPr>
        <w:t xml:space="preserve"> the </w:t>
      </w:r>
      <w:proofErr w:type="spellStart"/>
      <w:r w:rsidRPr="00F9625C">
        <w:rPr>
          <w:rFonts w:cs="Arial"/>
          <w:sz w:val="22"/>
          <w:szCs w:val="22"/>
        </w:rPr>
        <w:t>existence</w:t>
      </w:r>
      <w:proofErr w:type="spellEnd"/>
      <w:r w:rsidRPr="00F9625C">
        <w:rPr>
          <w:rFonts w:cs="Arial"/>
          <w:sz w:val="22"/>
          <w:szCs w:val="22"/>
        </w:rPr>
        <w:t xml:space="preserve"> of legal rules, </w:t>
      </w:r>
      <w:proofErr w:type="spellStart"/>
      <w:r w:rsidRPr="00F9625C">
        <w:rPr>
          <w:rFonts w:cs="Arial"/>
          <w:sz w:val="22"/>
          <w:szCs w:val="22"/>
        </w:rPr>
        <w:t>but</w:t>
      </w:r>
      <w:proofErr w:type="spellEnd"/>
      <w:r w:rsidRPr="00F9625C">
        <w:rPr>
          <w:rFonts w:cs="Arial"/>
          <w:sz w:val="22"/>
          <w:szCs w:val="22"/>
        </w:rPr>
        <w:t xml:space="preserve"> the gap </w:t>
      </w:r>
      <w:proofErr w:type="spellStart"/>
      <w:r w:rsidRPr="00F9625C">
        <w:rPr>
          <w:rFonts w:cs="Arial"/>
          <w:sz w:val="22"/>
          <w:szCs w:val="22"/>
        </w:rPr>
        <w:t>between</w:t>
      </w:r>
      <w:proofErr w:type="spellEnd"/>
      <w:r w:rsidRPr="00F9625C">
        <w:rPr>
          <w:rFonts w:cs="Arial"/>
          <w:sz w:val="22"/>
          <w:szCs w:val="22"/>
        </w:rPr>
        <w:t xml:space="preserve"> formal </w:t>
      </w:r>
      <w:proofErr w:type="spellStart"/>
      <w:r w:rsidRPr="00F9625C">
        <w:rPr>
          <w:rFonts w:cs="Arial"/>
          <w:sz w:val="22"/>
          <w:szCs w:val="22"/>
        </w:rPr>
        <w:t>recognition</w:t>
      </w:r>
      <w:proofErr w:type="spellEnd"/>
      <w:r w:rsidRPr="00F9625C">
        <w:rPr>
          <w:rFonts w:cs="Arial"/>
          <w:sz w:val="22"/>
          <w:szCs w:val="22"/>
        </w:rPr>
        <w:t xml:space="preserve">, </w:t>
      </w:r>
      <w:proofErr w:type="spellStart"/>
      <w:r w:rsidRPr="00F9625C">
        <w:rPr>
          <w:rFonts w:cs="Arial"/>
          <w:sz w:val="22"/>
          <w:szCs w:val="22"/>
        </w:rPr>
        <w:t>institutional</w:t>
      </w:r>
      <w:proofErr w:type="spellEnd"/>
      <w:r w:rsidRPr="00F9625C">
        <w:rPr>
          <w:rFonts w:cs="Arial"/>
          <w:sz w:val="22"/>
          <w:szCs w:val="22"/>
        </w:rPr>
        <w:t xml:space="preserve"> </w:t>
      </w:r>
      <w:proofErr w:type="spellStart"/>
      <w:r w:rsidRPr="00F9625C">
        <w:rPr>
          <w:rFonts w:cs="Arial"/>
          <w:sz w:val="22"/>
          <w:szCs w:val="22"/>
        </w:rPr>
        <w:t>capacity</w:t>
      </w:r>
      <w:proofErr w:type="spellEnd"/>
      <w:r w:rsidRPr="00F9625C">
        <w:rPr>
          <w:rFonts w:cs="Arial"/>
          <w:sz w:val="22"/>
          <w:szCs w:val="22"/>
        </w:rPr>
        <w:t xml:space="preserve"> and </w:t>
      </w:r>
      <w:proofErr w:type="spellStart"/>
      <w:r w:rsidRPr="00F9625C">
        <w:rPr>
          <w:rFonts w:cs="Arial"/>
          <w:sz w:val="22"/>
          <w:szCs w:val="22"/>
        </w:rPr>
        <w:t>effective</w:t>
      </w:r>
      <w:proofErr w:type="spellEnd"/>
      <w:r w:rsidRPr="00F9625C">
        <w:rPr>
          <w:rFonts w:cs="Arial"/>
          <w:sz w:val="22"/>
          <w:szCs w:val="22"/>
        </w:rPr>
        <w:t xml:space="preserve"> </w:t>
      </w:r>
      <w:proofErr w:type="spellStart"/>
      <w:r w:rsidRPr="00F9625C">
        <w:rPr>
          <w:rFonts w:cs="Arial"/>
          <w:sz w:val="22"/>
          <w:szCs w:val="22"/>
        </w:rPr>
        <w:t>ecological</w:t>
      </w:r>
      <w:proofErr w:type="spellEnd"/>
      <w:r w:rsidRPr="00F9625C">
        <w:rPr>
          <w:rFonts w:cs="Arial"/>
          <w:sz w:val="22"/>
          <w:szCs w:val="22"/>
        </w:rPr>
        <w:t xml:space="preserve"> </w:t>
      </w:r>
      <w:proofErr w:type="spellStart"/>
      <w:r w:rsidRPr="00F9625C">
        <w:rPr>
          <w:rFonts w:cs="Arial"/>
          <w:sz w:val="22"/>
          <w:szCs w:val="22"/>
        </w:rPr>
        <w:t>protection</w:t>
      </w:r>
      <w:proofErr w:type="spellEnd"/>
      <w:r w:rsidRPr="00F9625C">
        <w:rPr>
          <w:rFonts w:cs="Arial"/>
          <w:sz w:val="22"/>
          <w:szCs w:val="22"/>
        </w:rPr>
        <w:t>.</w:t>
      </w:r>
    </w:p>
    <w:p w14:paraId="439807E6" w14:textId="77777777" w:rsidR="00F9625C" w:rsidRPr="00F9625C" w:rsidRDefault="00F9625C" w:rsidP="00F9625C">
      <w:pPr>
        <w:rPr>
          <w:rFonts w:cs="Arial"/>
          <w:sz w:val="22"/>
          <w:szCs w:val="22"/>
        </w:rPr>
      </w:pPr>
      <w:proofErr w:type="spellStart"/>
      <w:r w:rsidRPr="00F9625C">
        <w:rPr>
          <w:rFonts w:cs="Arial"/>
          <w:b/>
          <w:sz w:val="22"/>
          <w:szCs w:val="22"/>
        </w:rPr>
        <w:t>Keywords</w:t>
      </w:r>
      <w:proofErr w:type="spellEnd"/>
      <w:r w:rsidRPr="00F9625C">
        <w:rPr>
          <w:rFonts w:cs="Arial"/>
          <w:b/>
          <w:sz w:val="22"/>
          <w:szCs w:val="22"/>
        </w:rPr>
        <w:t>:</w:t>
      </w:r>
      <w:r w:rsidRPr="00F9625C">
        <w:rPr>
          <w:rFonts w:cs="Arial"/>
          <w:sz w:val="22"/>
          <w:szCs w:val="22"/>
        </w:rPr>
        <w:t xml:space="preserve"> </w:t>
      </w:r>
      <w:proofErr w:type="spellStart"/>
      <w:r w:rsidRPr="00F9625C">
        <w:rPr>
          <w:rFonts w:cs="Arial"/>
          <w:sz w:val="22"/>
          <w:szCs w:val="22"/>
        </w:rPr>
        <w:t>rights</w:t>
      </w:r>
      <w:proofErr w:type="spellEnd"/>
      <w:r w:rsidRPr="00F9625C">
        <w:rPr>
          <w:rFonts w:cs="Arial"/>
          <w:sz w:val="22"/>
          <w:szCs w:val="22"/>
        </w:rPr>
        <w:t xml:space="preserve"> of </w:t>
      </w:r>
      <w:proofErr w:type="spellStart"/>
      <w:r w:rsidRPr="00F9625C">
        <w:rPr>
          <w:rFonts w:cs="Arial"/>
          <w:sz w:val="22"/>
          <w:szCs w:val="22"/>
        </w:rPr>
        <w:t>nature</w:t>
      </w:r>
      <w:proofErr w:type="spellEnd"/>
      <w:r w:rsidRPr="00F9625C">
        <w:rPr>
          <w:rFonts w:cs="Arial"/>
          <w:sz w:val="22"/>
          <w:szCs w:val="22"/>
        </w:rPr>
        <w:t xml:space="preserve">, </w:t>
      </w:r>
      <w:proofErr w:type="spellStart"/>
      <w:r w:rsidRPr="00F9625C">
        <w:rPr>
          <w:rFonts w:cs="Arial"/>
          <w:sz w:val="22"/>
          <w:szCs w:val="22"/>
        </w:rPr>
        <w:t>illegal</w:t>
      </w:r>
      <w:proofErr w:type="spellEnd"/>
      <w:r w:rsidRPr="00F9625C">
        <w:rPr>
          <w:rFonts w:cs="Arial"/>
          <w:sz w:val="22"/>
          <w:szCs w:val="22"/>
        </w:rPr>
        <w:t xml:space="preserve"> </w:t>
      </w:r>
      <w:proofErr w:type="spellStart"/>
      <w:r w:rsidRPr="00F9625C">
        <w:rPr>
          <w:rFonts w:cs="Arial"/>
          <w:sz w:val="22"/>
          <w:szCs w:val="22"/>
        </w:rPr>
        <w:t>mining</w:t>
      </w:r>
      <w:proofErr w:type="spellEnd"/>
      <w:r w:rsidRPr="00F9625C">
        <w:rPr>
          <w:rFonts w:cs="Arial"/>
          <w:sz w:val="22"/>
          <w:szCs w:val="22"/>
        </w:rPr>
        <w:t xml:space="preserve">, </w:t>
      </w:r>
      <w:proofErr w:type="spellStart"/>
      <w:r w:rsidRPr="00F9625C">
        <w:rPr>
          <w:rFonts w:cs="Arial"/>
          <w:sz w:val="22"/>
          <w:szCs w:val="22"/>
        </w:rPr>
        <w:t>environmental</w:t>
      </w:r>
      <w:proofErr w:type="spellEnd"/>
      <w:r w:rsidRPr="00F9625C">
        <w:rPr>
          <w:rFonts w:cs="Arial"/>
          <w:sz w:val="22"/>
          <w:szCs w:val="22"/>
        </w:rPr>
        <w:t xml:space="preserve"> </w:t>
      </w:r>
      <w:proofErr w:type="spellStart"/>
      <w:r w:rsidRPr="00F9625C">
        <w:rPr>
          <w:rFonts w:cs="Arial"/>
          <w:sz w:val="22"/>
          <w:szCs w:val="22"/>
        </w:rPr>
        <w:t>governance</w:t>
      </w:r>
      <w:proofErr w:type="spellEnd"/>
      <w:r w:rsidRPr="00F9625C">
        <w:rPr>
          <w:rFonts w:cs="Arial"/>
          <w:sz w:val="22"/>
          <w:szCs w:val="22"/>
        </w:rPr>
        <w:t xml:space="preserve">, </w:t>
      </w:r>
      <w:proofErr w:type="spellStart"/>
      <w:r w:rsidRPr="00F9625C">
        <w:rPr>
          <w:rFonts w:cs="Arial"/>
          <w:sz w:val="22"/>
          <w:szCs w:val="22"/>
        </w:rPr>
        <w:t>Indigenous</w:t>
      </w:r>
      <w:proofErr w:type="spellEnd"/>
      <w:r w:rsidRPr="00F9625C">
        <w:rPr>
          <w:rFonts w:cs="Arial"/>
          <w:sz w:val="22"/>
          <w:szCs w:val="22"/>
        </w:rPr>
        <w:t xml:space="preserve"> </w:t>
      </w:r>
      <w:proofErr w:type="spellStart"/>
      <w:r w:rsidRPr="00F9625C">
        <w:rPr>
          <w:rFonts w:cs="Arial"/>
          <w:sz w:val="22"/>
          <w:szCs w:val="22"/>
        </w:rPr>
        <w:t>Peoples</w:t>
      </w:r>
      <w:proofErr w:type="spellEnd"/>
      <w:r w:rsidRPr="00F9625C">
        <w:rPr>
          <w:rFonts w:cs="Arial"/>
          <w:sz w:val="22"/>
          <w:szCs w:val="22"/>
        </w:rPr>
        <w:t xml:space="preserve">, </w:t>
      </w:r>
      <w:proofErr w:type="spellStart"/>
      <w:r w:rsidRPr="00F9625C">
        <w:rPr>
          <w:rFonts w:cs="Arial"/>
          <w:sz w:val="22"/>
          <w:szCs w:val="22"/>
        </w:rPr>
        <w:t>environmental</w:t>
      </w:r>
      <w:proofErr w:type="spellEnd"/>
      <w:r w:rsidRPr="00F9625C">
        <w:rPr>
          <w:rFonts w:cs="Arial"/>
          <w:sz w:val="22"/>
          <w:szCs w:val="22"/>
        </w:rPr>
        <w:t xml:space="preserve"> </w:t>
      </w:r>
      <w:proofErr w:type="spellStart"/>
      <w:r w:rsidRPr="00F9625C">
        <w:rPr>
          <w:rFonts w:cs="Arial"/>
          <w:sz w:val="22"/>
          <w:szCs w:val="22"/>
        </w:rPr>
        <w:t>justice</w:t>
      </w:r>
      <w:proofErr w:type="spellEnd"/>
      <w:r w:rsidRPr="00F9625C">
        <w:rPr>
          <w:rFonts w:cs="Arial"/>
          <w:sz w:val="22"/>
          <w:szCs w:val="22"/>
        </w:rPr>
        <w:t xml:space="preserve">, </w:t>
      </w:r>
      <w:proofErr w:type="spellStart"/>
      <w:r w:rsidRPr="00F9625C">
        <w:rPr>
          <w:rFonts w:cs="Arial"/>
          <w:sz w:val="22"/>
          <w:szCs w:val="22"/>
        </w:rPr>
        <w:t>enforcement</w:t>
      </w:r>
      <w:proofErr w:type="spellEnd"/>
      <w:r w:rsidRPr="00F9625C">
        <w:rPr>
          <w:rFonts w:cs="Arial"/>
          <w:sz w:val="22"/>
          <w:szCs w:val="22"/>
        </w:rPr>
        <w:t>.</w:t>
      </w:r>
    </w:p>
    <w:p w14:paraId="3A73CDDC" w14:textId="77777777" w:rsidR="00F9625C" w:rsidRPr="00F9625C" w:rsidRDefault="00F9625C" w:rsidP="00F9625C">
      <w:pPr>
        <w:pStyle w:val="Ttulo1"/>
      </w:pPr>
      <w:r w:rsidRPr="00F9625C">
        <w:t>Introducción</w:t>
      </w:r>
    </w:p>
    <w:p w14:paraId="07AD3975" w14:textId="77777777" w:rsidR="00F9625C" w:rsidRPr="00F9625C" w:rsidRDefault="00F9625C" w:rsidP="00F9625C">
      <w:pPr>
        <w:ind w:firstLine="340"/>
        <w:rPr>
          <w:rFonts w:cs="Arial"/>
          <w:sz w:val="22"/>
          <w:szCs w:val="22"/>
        </w:rPr>
      </w:pPr>
      <w:r w:rsidRPr="00F9625C">
        <w:rPr>
          <w:rFonts w:cs="Arial"/>
          <w:sz w:val="22"/>
          <w:szCs w:val="22"/>
        </w:rPr>
        <w:lastRenderedPageBreak/>
        <w:t>El reconocimiento de la naturaleza como sujeto de derechos ha introducido una ruptura con la concepción jurídica tradicional que la trataba principalmente como objeto de propiedad, aprovechamiento o protección instrumental. En América Latina, este tránsito se expresa con particular intensidad en Ecuador, en la legislación boliviana y en desarrollos jurisprudenciales colombianos, pero también ha abierto un debate sobre su posible recepción y utilidad en ordenamientos como el peruano (Cumbe-Figueroa &amp; Vargas-Chaves, 2023; Dueñas Quiñones, 2020; Chávez, 2020).</w:t>
      </w:r>
    </w:p>
    <w:p w14:paraId="1B81EA63" w14:textId="77777777" w:rsidR="00F9625C" w:rsidRPr="00F9625C" w:rsidRDefault="00F9625C" w:rsidP="00F9625C">
      <w:pPr>
        <w:ind w:firstLine="340"/>
        <w:rPr>
          <w:rFonts w:cs="Arial"/>
          <w:sz w:val="22"/>
          <w:szCs w:val="22"/>
        </w:rPr>
      </w:pPr>
      <w:r w:rsidRPr="00F9625C">
        <w:rPr>
          <w:rFonts w:cs="Arial"/>
          <w:sz w:val="22"/>
          <w:szCs w:val="22"/>
        </w:rPr>
        <w:t xml:space="preserve">La literatura revisada coincide, sin embargo, en que el reconocimiento formal no equivale a protección efectiva. Martínez-Moscoso y Warner (2025) sostienen que los derechos de la naturaleza deben operar como un puente hacia una protección ecosistémica que articule instituciones, ciencia, comunidades, monitoreo y restauración. </w:t>
      </w:r>
      <w:proofErr w:type="spellStart"/>
      <w:r w:rsidRPr="00F9625C">
        <w:rPr>
          <w:rFonts w:cs="Arial"/>
          <w:sz w:val="22"/>
          <w:szCs w:val="22"/>
        </w:rPr>
        <w:t>Lostal</w:t>
      </w:r>
      <w:proofErr w:type="spellEnd"/>
      <w:r w:rsidRPr="00F9625C">
        <w:rPr>
          <w:rFonts w:cs="Arial"/>
          <w:sz w:val="22"/>
          <w:szCs w:val="22"/>
        </w:rPr>
        <w:t xml:space="preserve"> y Colón Ríos (2025) advierten, de modo convergente, que la personalidad jurídica o la declaración de derechos puede ser absorbida por estructuras jurídicas tradicionales si no se acompaña de contenido sustantivo, legitimación procesal y mecanismos efectivos de ejecución.</w:t>
      </w:r>
    </w:p>
    <w:p w14:paraId="6209AA3C" w14:textId="77777777" w:rsidR="00F9625C" w:rsidRPr="00F9625C" w:rsidRDefault="00F9625C" w:rsidP="00F9625C">
      <w:pPr>
        <w:ind w:firstLine="340"/>
        <w:rPr>
          <w:rFonts w:cs="Arial"/>
          <w:sz w:val="22"/>
          <w:szCs w:val="22"/>
        </w:rPr>
      </w:pPr>
      <w:r w:rsidRPr="00F9625C">
        <w:rPr>
          <w:rFonts w:cs="Arial"/>
          <w:sz w:val="22"/>
          <w:szCs w:val="22"/>
        </w:rPr>
        <w:t>Esta tensión adquiere especial relevancia frente a la minería ilegal. Los estudios examinados documentan contaminación por mercurio, degradación de cuerpos de agua, deforestación, pérdida de biodiversidad, afectación de suelos y daños a la salud y a los medios de vida, con especial gravedad en territorios amazónicos y comunidades indígenas (Prince Torres, 2023; Velásquez Zapata, 2020; López Espinosa, 2023). A ello se agregan dinámicas de informalidad persistente, redes de financiamiento y comercialización ilícita, corrupción y crimen organizado que exceden el enfoque exclusivamente ambiental o penal (Robalino Altamirano &amp; Cárdenas Paredes, 2025; Abanto et al., 2025).</w:t>
      </w:r>
    </w:p>
    <w:p w14:paraId="27D4AA92" w14:textId="77777777" w:rsidR="00F9625C" w:rsidRPr="00F9625C" w:rsidRDefault="00F9625C" w:rsidP="00F9625C">
      <w:pPr>
        <w:ind w:firstLine="340"/>
        <w:rPr>
          <w:rFonts w:cs="Arial"/>
          <w:sz w:val="22"/>
          <w:szCs w:val="22"/>
        </w:rPr>
      </w:pPr>
      <w:r w:rsidRPr="00F9625C">
        <w:rPr>
          <w:rFonts w:cs="Arial"/>
          <w:sz w:val="22"/>
          <w:szCs w:val="22"/>
        </w:rPr>
        <w:t>La problemática también revela una dimensión territorial. La expansión de concesiones, proyectos extractivos, procesos de formalización y actividades ilegales puede superponerse con territorios indígenas, propiedad comunal, áreas de conservación y otros usos del suelo. Los estudios sobre tierras indígenas amazónicas, jurisprudencia interamericana y conflictos socioambientales muestran que la defensa ecológica se encuentra estrechamente vinculada con derechos territoriales, consulta, participación y capacidad comunitaria de control (Quijano Vallejos et al., 2020; Olivares Alanís, 2013; Gustafsson &amp; Scurrah, 2019).</w:t>
      </w:r>
    </w:p>
    <w:p w14:paraId="24A076A9" w14:textId="77777777" w:rsidR="00F9625C" w:rsidRPr="00F9625C" w:rsidRDefault="00F9625C" w:rsidP="00F9625C">
      <w:pPr>
        <w:ind w:firstLine="340"/>
        <w:rPr>
          <w:rFonts w:cs="Arial"/>
          <w:sz w:val="22"/>
          <w:szCs w:val="22"/>
        </w:rPr>
      </w:pPr>
      <w:r w:rsidRPr="00F9625C">
        <w:rPr>
          <w:rFonts w:cs="Arial"/>
          <w:sz w:val="22"/>
          <w:szCs w:val="22"/>
        </w:rPr>
        <w:t xml:space="preserve">En el Perú, el debate presenta una doble dirección. Por un lado, existen trabajos que proponen o examinan críticamente el reconocimiento de los derechos de la naturaleza, incluyendo cuerpos hídricos y una transición desde el antropocentrismo hacia enfoques relacionales o </w:t>
      </w:r>
      <w:proofErr w:type="spellStart"/>
      <w:r w:rsidRPr="00F9625C">
        <w:rPr>
          <w:rFonts w:cs="Arial"/>
          <w:sz w:val="22"/>
          <w:szCs w:val="22"/>
        </w:rPr>
        <w:t>ecocéntricos</w:t>
      </w:r>
      <w:proofErr w:type="spellEnd"/>
      <w:r w:rsidRPr="00F9625C">
        <w:rPr>
          <w:rFonts w:cs="Arial"/>
          <w:sz w:val="22"/>
          <w:szCs w:val="22"/>
        </w:rPr>
        <w:t xml:space="preserve"> (Dueñas Quiñones, 2020; Monteagudo &amp; </w:t>
      </w:r>
      <w:proofErr w:type="spellStart"/>
      <w:r w:rsidRPr="00F9625C">
        <w:rPr>
          <w:rFonts w:cs="Arial"/>
          <w:sz w:val="22"/>
          <w:szCs w:val="22"/>
        </w:rPr>
        <w:t>Huyhua</w:t>
      </w:r>
      <w:proofErr w:type="spellEnd"/>
      <w:r w:rsidRPr="00F9625C">
        <w:rPr>
          <w:rFonts w:cs="Arial"/>
          <w:sz w:val="22"/>
          <w:szCs w:val="22"/>
        </w:rPr>
        <w:t xml:space="preserve"> Muñoz, </w:t>
      </w:r>
      <w:r w:rsidRPr="00F9625C">
        <w:rPr>
          <w:rFonts w:cs="Arial"/>
          <w:sz w:val="22"/>
          <w:szCs w:val="22"/>
        </w:rPr>
        <w:lastRenderedPageBreak/>
        <w:t>2023; Cruzado Portugal, 2022). Por otro, una parte importante de la literatura nacional estudia la minería ilegal desde la gestión pública, el derecho penal, la formalización, la fiscalización ambiental, la intervención policial y la gobernanza democrática (Chong Albornoz, 2023; Cáceres Gregorio, 2025; Vega Jara &amp; Pinzón Monja, 2023; Abanto et al., 2025).</w:t>
      </w:r>
    </w:p>
    <w:p w14:paraId="3AF50025" w14:textId="77777777" w:rsidR="00F9625C" w:rsidRPr="00F9625C" w:rsidRDefault="00F9625C" w:rsidP="00F9625C">
      <w:pPr>
        <w:ind w:firstLine="340"/>
        <w:rPr>
          <w:rFonts w:cs="Arial"/>
          <w:sz w:val="22"/>
          <w:szCs w:val="22"/>
        </w:rPr>
      </w:pPr>
      <w:r w:rsidRPr="00F9625C">
        <w:rPr>
          <w:rFonts w:cs="Arial"/>
          <w:sz w:val="22"/>
          <w:szCs w:val="22"/>
        </w:rPr>
        <w:t>Por ello, resulta necesario no solo describir estudios previos, sino identificar sus dimensiones comunes, cuantificar su frecuencia y contrastar el énfasis de la producción nacional e internacional. Siguiendo la arquitectura del artículo modelo de revisión crítica de Igobernanza (Sánchez et al., 2025), esta investigación combina síntesis documental, estadística descriptiva y discusión crítica para determinar qué aspectos dominan la literatura, cuáles aparecen subrepresentados y qué vacíos deben ser atendidos en futuras investigaciones sobre derechos de la naturaleza y minería ilegal.</w:t>
      </w:r>
    </w:p>
    <w:p w14:paraId="0A732C73" w14:textId="77777777" w:rsidR="00F9625C" w:rsidRPr="00F9625C" w:rsidRDefault="00F9625C" w:rsidP="00F9625C">
      <w:pPr>
        <w:ind w:firstLine="340"/>
        <w:rPr>
          <w:rFonts w:cs="Arial"/>
          <w:sz w:val="22"/>
          <w:szCs w:val="22"/>
        </w:rPr>
      </w:pPr>
    </w:p>
    <w:p w14:paraId="6413619B" w14:textId="77777777" w:rsidR="00F9625C" w:rsidRPr="00F9625C" w:rsidRDefault="00F9625C" w:rsidP="00F9625C">
      <w:pPr>
        <w:pStyle w:val="Ttulo1"/>
      </w:pPr>
      <w:r w:rsidRPr="00F9625C">
        <w:t>Objetivo general</w:t>
      </w:r>
    </w:p>
    <w:p w14:paraId="5694732A" w14:textId="77777777" w:rsidR="00F9625C" w:rsidRPr="00F9625C" w:rsidRDefault="00F9625C" w:rsidP="00F9625C">
      <w:pPr>
        <w:rPr>
          <w:rFonts w:cs="Arial"/>
          <w:sz w:val="22"/>
          <w:szCs w:val="22"/>
        </w:rPr>
      </w:pPr>
      <w:r w:rsidRPr="00F9625C">
        <w:rPr>
          <w:rFonts w:cs="Arial"/>
          <w:sz w:val="22"/>
          <w:szCs w:val="22"/>
        </w:rPr>
        <w:t>Elaborar un documento sistematizado y crítico de estudios previos sobre derechos de la naturaleza y minería ilegal, que permita identificar patrones conceptuales, jurídicos, ambientales e institucionales comunes en la literatura nacional e internacional y sirva de base para futuras investigaciones en el contexto peruano.</w:t>
      </w:r>
    </w:p>
    <w:p w14:paraId="76628DE5" w14:textId="77777777" w:rsidR="00F9625C" w:rsidRPr="00F9625C" w:rsidRDefault="00F9625C" w:rsidP="00F9625C">
      <w:pPr>
        <w:rPr>
          <w:rFonts w:cs="Arial"/>
          <w:sz w:val="22"/>
          <w:szCs w:val="22"/>
        </w:rPr>
      </w:pPr>
    </w:p>
    <w:p w14:paraId="1812F5C4" w14:textId="77777777" w:rsidR="00F9625C" w:rsidRPr="00F9625C" w:rsidRDefault="00F9625C" w:rsidP="00F9625C">
      <w:pPr>
        <w:pStyle w:val="Ttulo1"/>
      </w:pPr>
      <w:r w:rsidRPr="00F9625C">
        <w:t>Objetivos específicos</w:t>
      </w:r>
    </w:p>
    <w:p w14:paraId="2A6B1C13" w14:textId="77777777" w:rsidR="00F9625C" w:rsidRPr="00F9625C" w:rsidRDefault="00F9625C" w:rsidP="00F9625C">
      <w:pPr>
        <w:pStyle w:val="Listaconvietas"/>
        <w:tabs>
          <w:tab w:val="num" w:pos="360"/>
        </w:tabs>
        <w:spacing w:after="40" w:line="360" w:lineRule="auto"/>
        <w:ind w:left="360" w:hanging="360"/>
        <w:rPr>
          <w:rFonts w:cs="Arial"/>
          <w:sz w:val="22"/>
          <w:lang w:val="es-PE"/>
        </w:rPr>
      </w:pPr>
      <w:r w:rsidRPr="00F9625C">
        <w:rPr>
          <w:rFonts w:cs="Arial"/>
          <w:sz w:val="22"/>
          <w:lang w:val="es-PE"/>
        </w:rPr>
        <w:t>Sistematizar y analizar 40 fichas documentales, distribuidas en 20 estudios internacionales y 20 estudios nacionales.</w:t>
      </w:r>
    </w:p>
    <w:p w14:paraId="6A20BD65" w14:textId="77777777" w:rsidR="00F9625C" w:rsidRPr="00F9625C" w:rsidRDefault="00F9625C" w:rsidP="00F9625C">
      <w:pPr>
        <w:pStyle w:val="Listaconvietas"/>
        <w:tabs>
          <w:tab w:val="num" w:pos="360"/>
        </w:tabs>
        <w:spacing w:after="40" w:line="360" w:lineRule="auto"/>
        <w:ind w:left="360" w:hanging="360"/>
        <w:rPr>
          <w:rFonts w:cs="Arial"/>
          <w:sz w:val="22"/>
          <w:lang w:val="es-PE"/>
        </w:rPr>
      </w:pPr>
      <w:r w:rsidRPr="00F9625C">
        <w:rPr>
          <w:rFonts w:cs="Arial"/>
          <w:sz w:val="22"/>
          <w:lang w:val="es-PE"/>
        </w:rPr>
        <w:t>Identificar las dimensiones temáticas comunes y calcular su frecuencia absoluta y relativa.</w:t>
      </w:r>
    </w:p>
    <w:p w14:paraId="050ECA40" w14:textId="77777777" w:rsidR="00F9625C" w:rsidRPr="00F9625C" w:rsidRDefault="00F9625C" w:rsidP="00F9625C">
      <w:pPr>
        <w:pStyle w:val="Listaconvietas"/>
        <w:tabs>
          <w:tab w:val="num" w:pos="360"/>
        </w:tabs>
        <w:spacing w:after="40" w:line="360" w:lineRule="auto"/>
        <w:ind w:left="360" w:hanging="360"/>
        <w:rPr>
          <w:rFonts w:cs="Arial"/>
          <w:sz w:val="22"/>
          <w:lang w:val="es-PE"/>
        </w:rPr>
      </w:pPr>
      <w:r w:rsidRPr="00F9625C">
        <w:rPr>
          <w:rFonts w:cs="Arial"/>
          <w:sz w:val="22"/>
          <w:lang w:val="es-PE"/>
        </w:rPr>
        <w:t>Comparar los énfasis de la literatura internacional y nacional, particularmente en materia de reconocimiento de la naturaleza, minería ilegal, gobernanza, eficacia normativa, pueblos indígenas, contaminación y restauración.</w:t>
      </w:r>
    </w:p>
    <w:p w14:paraId="2371A4B6" w14:textId="77777777" w:rsidR="00F9625C" w:rsidRPr="00F9625C" w:rsidRDefault="00F9625C" w:rsidP="00F9625C">
      <w:pPr>
        <w:pStyle w:val="Listaconvietas"/>
        <w:tabs>
          <w:tab w:val="num" w:pos="360"/>
        </w:tabs>
        <w:spacing w:after="40" w:line="360" w:lineRule="auto"/>
        <w:ind w:left="360" w:hanging="360"/>
        <w:rPr>
          <w:rFonts w:cs="Arial"/>
          <w:sz w:val="22"/>
          <w:lang w:val="es-PE"/>
        </w:rPr>
      </w:pPr>
      <w:r w:rsidRPr="00F9625C">
        <w:rPr>
          <w:rFonts w:cs="Arial"/>
          <w:sz w:val="22"/>
          <w:lang w:val="es-PE"/>
        </w:rPr>
        <w:t>Clasificar los estudios según su enfoque temático principal, procedencia y ámbito geográfico.</w:t>
      </w:r>
    </w:p>
    <w:p w14:paraId="59C89B14" w14:textId="77777777" w:rsidR="00F9625C" w:rsidRPr="00F9625C" w:rsidRDefault="00F9625C" w:rsidP="00F9625C">
      <w:pPr>
        <w:pStyle w:val="Listaconvietas"/>
        <w:tabs>
          <w:tab w:val="num" w:pos="360"/>
        </w:tabs>
        <w:spacing w:after="40" w:line="360" w:lineRule="auto"/>
        <w:ind w:left="360" w:hanging="360"/>
        <w:rPr>
          <w:rFonts w:cs="Arial"/>
          <w:sz w:val="22"/>
          <w:lang w:val="es-PE"/>
        </w:rPr>
      </w:pPr>
      <w:r w:rsidRPr="00F9625C">
        <w:rPr>
          <w:rFonts w:cs="Arial"/>
          <w:sz w:val="22"/>
          <w:lang w:val="es-PE"/>
        </w:rPr>
        <w:t>Desarrollar una discusión crítica sobre las brechas entre reconocimiento jurídico, capacidad institucional y protección efectiva de los ecosistemas frente a la minería ilegal.</w:t>
      </w:r>
    </w:p>
    <w:p w14:paraId="77E7B0A5" w14:textId="77777777" w:rsidR="00F9625C" w:rsidRDefault="00F9625C" w:rsidP="00F9625C">
      <w:pPr>
        <w:pStyle w:val="Ttulo1"/>
      </w:pPr>
    </w:p>
    <w:p w14:paraId="7FF23A9C" w14:textId="079846FB" w:rsidR="00F9625C" w:rsidRPr="00F9625C" w:rsidRDefault="00F9625C" w:rsidP="00F9625C">
      <w:pPr>
        <w:pStyle w:val="Ttulo1"/>
      </w:pPr>
      <w:r w:rsidRPr="00F9625C">
        <w:t>Metodología</w:t>
      </w:r>
    </w:p>
    <w:p w14:paraId="0ABF658A" w14:textId="77777777" w:rsidR="00F9625C" w:rsidRPr="00F9625C" w:rsidRDefault="00F9625C" w:rsidP="00F9625C">
      <w:pPr>
        <w:ind w:firstLine="340"/>
        <w:rPr>
          <w:rFonts w:cs="Arial"/>
          <w:sz w:val="22"/>
          <w:szCs w:val="22"/>
        </w:rPr>
      </w:pPr>
      <w:r w:rsidRPr="00F9625C">
        <w:rPr>
          <w:rFonts w:cs="Arial"/>
          <w:sz w:val="22"/>
          <w:szCs w:val="22"/>
        </w:rPr>
        <w:t xml:space="preserve">La investigación utiliza un enfoque cualitativo con diseño de investigación documental, complementado con estadística descriptiva. La unidad de análisis está </w:t>
      </w:r>
      <w:r w:rsidRPr="00F9625C">
        <w:rPr>
          <w:rFonts w:cs="Arial"/>
          <w:sz w:val="22"/>
          <w:szCs w:val="22"/>
        </w:rPr>
        <w:lastRenderedPageBreak/>
        <w:t>constituida por las fichas documentales proporcionadas, que contienen identificación bibliográfica, objetivo, metodología, muestra, principales resultados, conclusiones, recomendaciones, relevancia y evaluación crítica de cada publicación.</w:t>
      </w:r>
    </w:p>
    <w:p w14:paraId="6BA72424" w14:textId="77777777" w:rsidR="00F9625C" w:rsidRPr="00F9625C" w:rsidRDefault="00F9625C" w:rsidP="00F9625C">
      <w:pPr>
        <w:ind w:firstLine="340"/>
        <w:rPr>
          <w:rFonts w:cs="Arial"/>
          <w:sz w:val="22"/>
          <w:szCs w:val="22"/>
        </w:rPr>
      </w:pPr>
      <w:r w:rsidRPr="00F9625C">
        <w:rPr>
          <w:rFonts w:cs="Arial"/>
          <w:sz w:val="22"/>
          <w:szCs w:val="22"/>
        </w:rPr>
        <w:t>La base recibida comprende 40 fichas: 20 internacionales y 20 nacionales. El control de calidad identificó que las fichas internacionales N.° 4 y N.° 12 corresponden a la misma publicación de Zambrano Reyna y Paz Zamora (2024). En consecuencia, existen 39 publicaciones únicas. Para respetar la instrucción de trabajar con los 40 análisis y mantener trazabilidad con la matriz original, los porcentajes principales se calcularon sobre 40 fichas; adicionalmente, se efectuó una comprobación de sensibilidad excluyendo el duplicado, sin alteración de la jerarquía de las dimensiones predominantes.</w:t>
      </w:r>
    </w:p>
    <w:p w14:paraId="06225E16" w14:textId="77777777" w:rsidR="00F9625C" w:rsidRPr="00F9625C" w:rsidRDefault="00F9625C" w:rsidP="00F9625C">
      <w:pPr>
        <w:ind w:firstLine="340"/>
        <w:rPr>
          <w:rFonts w:cs="Arial"/>
          <w:sz w:val="22"/>
          <w:szCs w:val="22"/>
        </w:rPr>
      </w:pPr>
      <w:r w:rsidRPr="00F9625C">
        <w:rPr>
          <w:rFonts w:cs="Arial"/>
          <w:sz w:val="22"/>
          <w:szCs w:val="22"/>
        </w:rPr>
        <w:t>Las publicaciones abarcan el periodo 2013-2025. Se mantuvo el estudio de 2013 por su carácter fundacional en la jurisprudencia interamericana sobre pueblos indígenas e industrias extractivas, y se incluyeron los trabajos de 2025 porque la base entregada contiene una actualización posterior al periodo 2014-2024 utilizado en la plantilla original.</w:t>
      </w:r>
    </w:p>
    <w:p w14:paraId="6F801FC5" w14:textId="77777777" w:rsidR="00F9625C" w:rsidRDefault="00F9625C" w:rsidP="00F9625C">
      <w:pPr>
        <w:ind w:firstLine="340"/>
        <w:rPr>
          <w:rFonts w:cs="Arial"/>
          <w:sz w:val="22"/>
          <w:szCs w:val="22"/>
        </w:rPr>
      </w:pPr>
      <w:r w:rsidRPr="00F9625C">
        <w:rPr>
          <w:rFonts w:cs="Arial"/>
          <w:sz w:val="22"/>
          <w:szCs w:val="22"/>
        </w:rPr>
        <w:t xml:space="preserve">La codificación temática fue </w:t>
      </w:r>
      <w:proofErr w:type="spellStart"/>
      <w:r w:rsidRPr="00F9625C">
        <w:rPr>
          <w:rFonts w:cs="Arial"/>
          <w:sz w:val="22"/>
          <w:szCs w:val="22"/>
        </w:rPr>
        <w:t>multietiqueta</w:t>
      </w:r>
      <w:proofErr w:type="spellEnd"/>
      <w:r w:rsidRPr="00F9625C">
        <w:rPr>
          <w:rFonts w:cs="Arial"/>
          <w:sz w:val="22"/>
          <w:szCs w:val="22"/>
        </w:rPr>
        <w:t>: una misma publicación podía contabilizarse en más de una dimensión cuando su objetivo, resultados, conclusiones o palabras clave desarrollaban sustantivamente el tema. Por esa razón, los porcentajes de la Tabla 2 no deben sumarse para obtener 100 %. La frecuencia de cada dimensión se calculó mediante la fórmula f/40 × 100. La comparación internacional-nacional se calculó dentro de cada grupo, con denominador de 20 fichas.</w:t>
      </w:r>
    </w:p>
    <w:p w14:paraId="1233AB17" w14:textId="77777777" w:rsidR="00F9625C" w:rsidRPr="00F9625C" w:rsidRDefault="00F9625C" w:rsidP="00F9625C">
      <w:pPr>
        <w:ind w:firstLine="340"/>
        <w:rPr>
          <w:rFonts w:cs="Arial"/>
          <w:sz w:val="22"/>
          <w:szCs w:val="22"/>
        </w:rPr>
      </w:pPr>
    </w:p>
    <w:p w14:paraId="214FC819" w14:textId="77777777" w:rsidR="00F9625C" w:rsidRPr="00F9625C" w:rsidRDefault="00F9625C" w:rsidP="00F9625C">
      <w:pPr>
        <w:pStyle w:val="Ttulo1"/>
      </w:pPr>
      <w:r w:rsidRPr="00F9625C">
        <w:t>Tipo y diseño de investigación</w:t>
      </w:r>
    </w:p>
    <w:p w14:paraId="0CBC208E" w14:textId="77777777" w:rsidR="00F9625C" w:rsidRDefault="00F9625C" w:rsidP="00F9625C">
      <w:pPr>
        <w:rPr>
          <w:rFonts w:cs="Arial"/>
          <w:sz w:val="22"/>
          <w:szCs w:val="22"/>
        </w:rPr>
      </w:pPr>
      <w:r w:rsidRPr="00F9625C">
        <w:rPr>
          <w:rFonts w:cs="Arial"/>
          <w:sz w:val="22"/>
          <w:szCs w:val="22"/>
        </w:rPr>
        <w:t>Se empleó análisis documental y análisis de contenido. La información fue codificada en una matriz comparativa y posteriormente procesada mediante estadística descriptiva de frecuencias y porcentajes. La codificación priorizó el contenido sustantivo de los objetivos, resultados, conclusiones y palabras clave de las fichas, evitando contabilizar como evidencia sustantiva las recomendaciones inferidas o añadidas en las fichas cuando no correspondían a hallazgos del estudio original.</w:t>
      </w:r>
    </w:p>
    <w:p w14:paraId="5AA60D8F" w14:textId="77777777" w:rsidR="00F9625C" w:rsidRDefault="00F9625C" w:rsidP="00F9625C">
      <w:pPr>
        <w:rPr>
          <w:rFonts w:cs="Arial"/>
          <w:sz w:val="22"/>
          <w:szCs w:val="22"/>
        </w:rPr>
      </w:pPr>
    </w:p>
    <w:p w14:paraId="04A3713D" w14:textId="77777777" w:rsidR="00F9625C" w:rsidRPr="00F9625C" w:rsidRDefault="00F9625C" w:rsidP="00F9625C">
      <w:pPr>
        <w:rPr>
          <w:rFonts w:cs="Arial"/>
          <w:sz w:val="22"/>
          <w:szCs w:val="22"/>
        </w:rPr>
      </w:pPr>
    </w:p>
    <w:p w14:paraId="2839A747" w14:textId="77777777" w:rsidR="00F9625C" w:rsidRPr="00F9625C" w:rsidRDefault="00F9625C" w:rsidP="00F9625C">
      <w:pPr>
        <w:pStyle w:val="Ttulo1"/>
      </w:pPr>
      <w:r w:rsidRPr="00F9625C">
        <w:t>Procedimiento</w:t>
      </w:r>
    </w:p>
    <w:p w14:paraId="46D31167" w14:textId="77777777" w:rsidR="00F9625C" w:rsidRPr="00F9625C" w:rsidRDefault="00F9625C" w:rsidP="00F9625C">
      <w:pPr>
        <w:pStyle w:val="Listaconnmeros"/>
        <w:spacing w:after="40"/>
        <w:jc w:val="left"/>
        <w:rPr>
          <w:rFonts w:cs="Arial"/>
          <w:sz w:val="22"/>
          <w:szCs w:val="22"/>
        </w:rPr>
      </w:pPr>
      <w:r w:rsidRPr="00F9625C">
        <w:rPr>
          <w:rFonts w:cs="Arial"/>
          <w:sz w:val="22"/>
          <w:szCs w:val="22"/>
        </w:rPr>
        <w:t>Primera etapa: ordenamiento de las 40 fichas por procedencia —internacional o nacional—, número de registro, año, tipo de documento y referencia bibliográfica.</w:t>
      </w:r>
    </w:p>
    <w:p w14:paraId="2A4F889E" w14:textId="77777777" w:rsidR="00F9625C" w:rsidRPr="00F9625C" w:rsidRDefault="00F9625C" w:rsidP="00F9625C">
      <w:pPr>
        <w:pStyle w:val="Listaconnmeros"/>
        <w:spacing w:after="40"/>
        <w:jc w:val="left"/>
        <w:rPr>
          <w:rFonts w:cs="Arial"/>
          <w:sz w:val="22"/>
          <w:szCs w:val="22"/>
        </w:rPr>
      </w:pPr>
      <w:r w:rsidRPr="00F9625C">
        <w:rPr>
          <w:rFonts w:cs="Arial"/>
          <w:sz w:val="22"/>
          <w:szCs w:val="22"/>
        </w:rPr>
        <w:lastRenderedPageBreak/>
        <w:t>Segunda etapa: lectura comparada de objetivos, resultados y conclusiones; identificación de categorías recurrentes; depuración de categorías redundantes y construcción de 14 dimensiones comunes.</w:t>
      </w:r>
    </w:p>
    <w:p w14:paraId="4838D3F7" w14:textId="77777777" w:rsidR="00F9625C" w:rsidRPr="00F9625C" w:rsidRDefault="00F9625C" w:rsidP="00F9625C">
      <w:pPr>
        <w:pStyle w:val="Listaconnmeros"/>
        <w:spacing w:after="40"/>
        <w:jc w:val="left"/>
        <w:rPr>
          <w:rFonts w:cs="Arial"/>
          <w:sz w:val="22"/>
          <w:szCs w:val="22"/>
        </w:rPr>
      </w:pPr>
      <w:r w:rsidRPr="00F9625C">
        <w:rPr>
          <w:rFonts w:cs="Arial"/>
          <w:sz w:val="22"/>
          <w:szCs w:val="22"/>
        </w:rPr>
        <w:t>Tercera etapa: codificación binaria de presencia o ausencia de cada dimensión en cada ficha, cálculo de frecuencias y porcentajes, y contraste entre la literatura internacional y nacional.</w:t>
      </w:r>
    </w:p>
    <w:p w14:paraId="472877E8" w14:textId="77777777" w:rsidR="00F9625C" w:rsidRPr="00F9625C" w:rsidRDefault="00F9625C" w:rsidP="00F9625C">
      <w:pPr>
        <w:pStyle w:val="Listaconnmeros"/>
        <w:spacing w:after="40"/>
        <w:jc w:val="left"/>
        <w:rPr>
          <w:rFonts w:cs="Arial"/>
          <w:sz w:val="22"/>
          <w:szCs w:val="22"/>
        </w:rPr>
      </w:pPr>
      <w:r w:rsidRPr="00F9625C">
        <w:rPr>
          <w:rFonts w:cs="Arial"/>
          <w:sz w:val="22"/>
          <w:szCs w:val="22"/>
        </w:rPr>
        <w:t>Cuarta etapa: interpretación crítica de las coincidencias, divergencias y vacíos; revisión de coherencia entre resultados cuantitativos y síntesis cualitativa; y control de duplicados y referencias.</w:t>
      </w:r>
    </w:p>
    <w:p w14:paraId="4EA228AB" w14:textId="77777777" w:rsidR="00F9625C" w:rsidRDefault="00F9625C" w:rsidP="00F9625C">
      <w:pPr>
        <w:pStyle w:val="Ttulo1"/>
      </w:pPr>
    </w:p>
    <w:p w14:paraId="768CDC90" w14:textId="0D3BEA8F" w:rsidR="00F9625C" w:rsidRPr="00F9625C" w:rsidRDefault="00F9625C" w:rsidP="00F9625C">
      <w:pPr>
        <w:pStyle w:val="Ttulo1"/>
      </w:pPr>
      <w:r w:rsidRPr="00F9625C">
        <w:t>Población y muestra</w:t>
      </w:r>
    </w:p>
    <w:p w14:paraId="14F685FD" w14:textId="77777777" w:rsidR="00F9625C" w:rsidRDefault="00F9625C" w:rsidP="00F9625C">
      <w:pPr>
        <w:rPr>
          <w:rFonts w:cs="Arial"/>
          <w:sz w:val="22"/>
          <w:szCs w:val="22"/>
        </w:rPr>
      </w:pPr>
      <w:r w:rsidRPr="00F9625C">
        <w:rPr>
          <w:rFonts w:cs="Arial"/>
          <w:sz w:val="22"/>
          <w:szCs w:val="22"/>
        </w:rPr>
        <w:t>La población documental de trabajo corresponde al conjunto de estudios contenidos en la matriz proporcionada. La muestra está conformada por 40 fichas analíticas —20 internacionales y 20 nacionales—, equivalentes a 39 publicaciones únicas luego de identificar una duplicación bibliográfica. Predominan los artículos científicos (27), seguidos por tesis o trabajos académicos (10), capítulos de libro (2) e informes técnicos (1).</w:t>
      </w:r>
    </w:p>
    <w:p w14:paraId="7DDDCACD" w14:textId="77777777" w:rsidR="00F9625C" w:rsidRPr="00F9625C" w:rsidRDefault="00F9625C" w:rsidP="00F9625C">
      <w:pPr>
        <w:rPr>
          <w:rFonts w:cs="Arial"/>
          <w:sz w:val="22"/>
          <w:szCs w:val="22"/>
        </w:rPr>
      </w:pPr>
    </w:p>
    <w:p w14:paraId="507EF02F" w14:textId="77777777" w:rsidR="00F9625C" w:rsidRPr="00F9625C" w:rsidRDefault="00F9625C" w:rsidP="00F9625C">
      <w:pPr>
        <w:pStyle w:val="Ttulo1"/>
      </w:pPr>
      <w:r w:rsidRPr="00F9625C">
        <w:t>Análisis de datos</w:t>
      </w:r>
    </w:p>
    <w:p w14:paraId="30D11A89" w14:textId="77777777" w:rsidR="00F9625C" w:rsidRDefault="00F9625C" w:rsidP="00F9625C">
      <w:pPr>
        <w:rPr>
          <w:rFonts w:cs="Arial"/>
          <w:sz w:val="22"/>
          <w:szCs w:val="22"/>
        </w:rPr>
      </w:pPr>
      <w:r w:rsidRPr="00F9625C">
        <w:rPr>
          <w:rFonts w:cs="Arial"/>
          <w:sz w:val="22"/>
          <w:szCs w:val="22"/>
        </w:rPr>
        <w:t xml:space="preserve">Se utilizaron tablas, gráficos y estadística descriptiva. Para las dimensiones comunes se empleó un esquema </w:t>
      </w:r>
      <w:proofErr w:type="spellStart"/>
      <w:r w:rsidRPr="00F9625C">
        <w:rPr>
          <w:rFonts w:cs="Arial"/>
          <w:sz w:val="22"/>
          <w:szCs w:val="22"/>
        </w:rPr>
        <w:t>multietiqueta</w:t>
      </w:r>
      <w:proofErr w:type="spellEnd"/>
      <w:r w:rsidRPr="00F9625C">
        <w:rPr>
          <w:rFonts w:cs="Arial"/>
          <w:sz w:val="22"/>
          <w:szCs w:val="22"/>
        </w:rPr>
        <w:t>. En la clasificación por enfoque principal y ubicación geográfica se asignó una sola categoría a cada ficha para permitir distribuciones que sumen 100 %.</w:t>
      </w:r>
    </w:p>
    <w:p w14:paraId="3B0EF9AB" w14:textId="77777777" w:rsidR="00F9625C" w:rsidRPr="00F9625C" w:rsidRDefault="00F9625C" w:rsidP="00F9625C">
      <w:pPr>
        <w:rPr>
          <w:rFonts w:cs="Arial"/>
          <w:sz w:val="22"/>
          <w:szCs w:val="22"/>
        </w:rPr>
      </w:pPr>
    </w:p>
    <w:p w14:paraId="60F3BCFB" w14:textId="77777777" w:rsidR="00F9625C" w:rsidRPr="00F9625C" w:rsidRDefault="00F9625C" w:rsidP="00F9625C">
      <w:pPr>
        <w:spacing w:after="60"/>
        <w:rPr>
          <w:rFonts w:cs="Arial"/>
          <w:sz w:val="22"/>
          <w:szCs w:val="22"/>
        </w:rPr>
      </w:pPr>
      <w:r w:rsidRPr="00F9625C">
        <w:rPr>
          <w:rFonts w:cs="Arial"/>
          <w:b/>
          <w:sz w:val="22"/>
          <w:szCs w:val="22"/>
        </w:rPr>
        <w:t>Diseño de la investigación</w:t>
      </w:r>
    </w:p>
    <w:tbl>
      <w:tblPr>
        <w:tblStyle w:val="Tablaconcuadrcula"/>
        <w:tblW w:w="0" w:type="auto"/>
        <w:jc w:val="center"/>
        <w:tblLook w:val="04A0" w:firstRow="1" w:lastRow="0" w:firstColumn="1" w:lastColumn="0" w:noHBand="0" w:noVBand="1"/>
      </w:tblPr>
      <w:tblGrid>
        <w:gridCol w:w="2192"/>
        <w:gridCol w:w="2173"/>
        <w:gridCol w:w="4129"/>
      </w:tblGrid>
      <w:tr w:rsidR="00F9625C" w:rsidRPr="00F9625C" w14:paraId="7149CF15" w14:textId="77777777" w:rsidTr="007E2AA1">
        <w:trPr>
          <w:cantSplit/>
          <w:tblHeader/>
          <w:jc w:val="center"/>
        </w:trPr>
        <w:tc>
          <w:tcPr>
            <w:tcW w:w="2381" w:type="dxa"/>
            <w:shd w:val="clear" w:color="auto" w:fill="D9D9D9"/>
            <w:vAlign w:val="center"/>
          </w:tcPr>
          <w:p w14:paraId="01A5C067"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b/>
                <w:sz w:val="22"/>
                <w:szCs w:val="22"/>
              </w:rPr>
              <w:t>Diseño</w:t>
            </w:r>
          </w:p>
        </w:tc>
        <w:tc>
          <w:tcPr>
            <w:tcW w:w="2381" w:type="dxa"/>
            <w:shd w:val="clear" w:color="auto" w:fill="D9D9D9"/>
            <w:vAlign w:val="center"/>
          </w:tcPr>
          <w:p w14:paraId="4ED2F361"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b/>
                <w:sz w:val="22"/>
                <w:szCs w:val="22"/>
              </w:rPr>
              <w:t>Técnicas</w:t>
            </w:r>
          </w:p>
        </w:tc>
        <w:tc>
          <w:tcPr>
            <w:tcW w:w="4819" w:type="dxa"/>
            <w:shd w:val="clear" w:color="auto" w:fill="D9D9D9"/>
            <w:vAlign w:val="center"/>
          </w:tcPr>
          <w:p w14:paraId="0DCFA06B"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b/>
                <w:sz w:val="22"/>
                <w:szCs w:val="22"/>
              </w:rPr>
              <w:t>Instrumentos</w:t>
            </w:r>
          </w:p>
        </w:tc>
      </w:tr>
      <w:tr w:rsidR="00F9625C" w:rsidRPr="00F9625C" w14:paraId="3DFA83F0" w14:textId="77777777" w:rsidTr="007E2AA1">
        <w:trPr>
          <w:cantSplit/>
          <w:jc w:val="center"/>
        </w:trPr>
        <w:tc>
          <w:tcPr>
            <w:tcW w:w="2381" w:type="dxa"/>
            <w:vAlign w:val="center"/>
          </w:tcPr>
          <w:p w14:paraId="379A4AE5" w14:textId="77777777" w:rsidR="00F9625C" w:rsidRPr="00F9625C" w:rsidRDefault="00F9625C" w:rsidP="00F9625C">
            <w:pPr>
              <w:spacing w:line="240" w:lineRule="auto"/>
              <w:rPr>
                <w:rFonts w:ascii="Arial" w:hAnsi="Arial" w:cs="Arial"/>
                <w:sz w:val="22"/>
                <w:szCs w:val="22"/>
              </w:rPr>
            </w:pPr>
            <w:r w:rsidRPr="00F9625C">
              <w:rPr>
                <w:rFonts w:ascii="Arial" w:hAnsi="Arial" w:cs="Arial"/>
                <w:sz w:val="22"/>
                <w:szCs w:val="22"/>
              </w:rPr>
              <w:t>Investigación documental</w:t>
            </w:r>
          </w:p>
        </w:tc>
        <w:tc>
          <w:tcPr>
            <w:tcW w:w="2381" w:type="dxa"/>
            <w:vAlign w:val="center"/>
          </w:tcPr>
          <w:p w14:paraId="35380D2E"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sz w:val="22"/>
                <w:szCs w:val="22"/>
              </w:rPr>
              <w:t>Análisis documental</w:t>
            </w:r>
          </w:p>
        </w:tc>
        <w:tc>
          <w:tcPr>
            <w:tcW w:w="4819" w:type="dxa"/>
            <w:vAlign w:val="center"/>
          </w:tcPr>
          <w:p w14:paraId="425E7D52"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sz w:val="22"/>
                <w:szCs w:val="22"/>
              </w:rPr>
              <w:t>Matriz de análisis de 40 fichas; referencias bibliográficas; documentos fuente</w:t>
            </w:r>
          </w:p>
        </w:tc>
      </w:tr>
      <w:tr w:rsidR="00F9625C" w:rsidRPr="00F9625C" w14:paraId="04344E57" w14:textId="77777777" w:rsidTr="007E2AA1">
        <w:trPr>
          <w:cantSplit/>
          <w:jc w:val="center"/>
        </w:trPr>
        <w:tc>
          <w:tcPr>
            <w:tcW w:w="2381" w:type="dxa"/>
            <w:vAlign w:val="center"/>
          </w:tcPr>
          <w:p w14:paraId="4EA45D29" w14:textId="77777777" w:rsidR="00F9625C" w:rsidRPr="00F9625C" w:rsidRDefault="00F9625C" w:rsidP="00F9625C">
            <w:pPr>
              <w:spacing w:line="240" w:lineRule="auto"/>
              <w:rPr>
                <w:rFonts w:ascii="Arial" w:hAnsi="Arial" w:cs="Arial"/>
                <w:sz w:val="22"/>
                <w:szCs w:val="22"/>
              </w:rPr>
            </w:pPr>
            <w:r w:rsidRPr="00F9625C">
              <w:rPr>
                <w:rFonts w:ascii="Arial" w:hAnsi="Arial" w:cs="Arial"/>
                <w:sz w:val="22"/>
                <w:szCs w:val="22"/>
              </w:rPr>
              <w:t>Investigación documental</w:t>
            </w:r>
          </w:p>
        </w:tc>
        <w:tc>
          <w:tcPr>
            <w:tcW w:w="2381" w:type="dxa"/>
            <w:vAlign w:val="center"/>
          </w:tcPr>
          <w:p w14:paraId="1296D8F8"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sz w:val="22"/>
                <w:szCs w:val="22"/>
              </w:rPr>
              <w:t>Análisis de contenido</w:t>
            </w:r>
          </w:p>
        </w:tc>
        <w:tc>
          <w:tcPr>
            <w:tcW w:w="4819" w:type="dxa"/>
            <w:vAlign w:val="center"/>
          </w:tcPr>
          <w:p w14:paraId="400E6B39"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sz w:val="22"/>
                <w:szCs w:val="22"/>
              </w:rPr>
              <w:t>Cuadro de clasificación temática y codificación de dimensiones</w:t>
            </w:r>
          </w:p>
        </w:tc>
      </w:tr>
      <w:tr w:rsidR="00F9625C" w:rsidRPr="00F9625C" w14:paraId="2825ED22" w14:textId="77777777" w:rsidTr="007E2AA1">
        <w:trPr>
          <w:cantSplit/>
          <w:jc w:val="center"/>
        </w:trPr>
        <w:tc>
          <w:tcPr>
            <w:tcW w:w="2381" w:type="dxa"/>
            <w:vAlign w:val="center"/>
          </w:tcPr>
          <w:p w14:paraId="65AE10E8" w14:textId="77777777" w:rsidR="00F9625C" w:rsidRPr="00F9625C" w:rsidRDefault="00F9625C" w:rsidP="00F9625C">
            <w:pPr>
              <w:spacing w:line="240" w:lineRule="auto"/>
              <w:rPr>
                <w:rFonts w:ascii="Arial" w:hAnsi="Arial" w:cs="Arial"/>
                <w:sz w:val="22"/>
                <w:szCs w:val="22"/>
              </w:rPr>
            </w:pPr>
            <w:r w:rsidRPr="00F9625C">
              <w:rPr>
                <w:rFonts w:ascii="Arial" w:hAnsi="Arial" w:cs="Arial"/>
                <w:sz w:val="22"/>
                <w:szCs w:val="22"/>
              </w:rPr>
              <w:t>Estadística descriptiva</w:t>
            </w:r>
          </w:p>
        </w:tc>
        <w:tc>
          <w:tcPr>
            <w:tcW w:w="2381" w:type="dxa"/>
            <w:vAlign w:val="center"/>
          </w:tcPr>
          <w:p w14:paraId="61CB820D"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sz w:val="22"/>
                <w:szCs w:val="22"/>
              </w:rPr>
              <w:t>Frecuencias y porcentajes</w:t>
            </w:r>
          </w:p>
        </w:tc>
        <w:tc>
          <w:tcPr>
            <w:tcW w:w="4819" w:type="dxa"/>
            <w:vAlign w:val="center"/>
          </w:tcPr>
          <w:p w14:paraId="57490A88" w14:textId="77777777" w:rsidR="00F9625C" w:rsidRPr="00F9625C" w:rsidRDefault="00F9625C" w:rsidP="00F9625C">
            <w:pPr>
              <w:spacing w:line="240" w:lineRule="auto"/>
              <w:jc w:val="center"/>
              <w:rPr>
                <w:rFonts w:ascii="Arial" w:hAnsi="Arial" w:cs="Arial"/>
                <w:sz w:val="22"/>
                <w:szCs w:val="22"/>
              </w:rPr>
            </w:pPr>
            <w:r w:rsidRPr="00F9625C">
              <w:rPr>
                <w:rFonts w:ascii="Arial" w:hAnsi="Arial" w:cs="Arial"/>
                <w:sz w:val="22"/>
                <w:szCs w:val="22"/>
              </w:rPr>
              <w:t>Tablas comparativas y gráficos</w:t>
            </w:r>
          </w:p>
        </w:tc>
      </w:tr>
    </w:tbl>
    <w:p w14:paraId="5206F024" w14:textId="77777777" w:rsidR="00F9625C" w:rsidRPr="00F9625C" w:rsidRDefault="00F9625C" w:rsidP="00F9625C">
      <w:pPr>
        <w:spacing w:after="40"/>
        <w:rPr>
          <w:rFonts w:cs="Arial"/>
          <w:sz w:val="22"/>
          <w:szCs w:val="22"/>
        </w:rPr>
      </w:pPr>
    </w:p>
    <w:p w14:paraId="6F377728" w14:textId="77777777" w:rsidR="00F9625C" w:rsidRPr="00F9625C" w:rsidRDefault="00F9625C" w:rsidP="00F9625C">
      <w:pPr>
        <w:pStyle w:val="Ttulo1"/>
      </w:pPr>
      <w:r w:rsidRPr="00F9625C">
        <w:t>Resultados</w:t>
      </w:r>
    </w:p>
    <w:p w14:paraId="727B323E" w14:textId="77777777" w:rsidR="00F9625C" w:rsidRDefault="00F9625C" w:rsidP="00F9625C">
      <w:pPr>
        <w:pStyle w:val="Ttulo2"/>
        <w:rPr>
          <w:rFonts w:cs="Arial"/>
          <w:sz w:val="22"/>
          <w:szCs w:val="22"/>
        </w:rPr>
      </w:pPr>
    </w:p>
    <w:p w14:paraId="3DE330D1" w14:textId="77E39FED" w:rsidR="00F9625C" w:rsidRPr="00F9625C" w:rsidRDefault="00F9625C" w:rsidP="00F9625C">
      <w:pPr>
        <w:pStyle w:val="Ttulo2"/>
        <w:rPr>
          <w:rFonts w:cs="Arial"/>
          <w:sz w:val="22"/>
          <w:szCs w:val="22"/>
        </w:rPr>
      </w:pPr>
      <w:r w:rsidRPr="00F9625C">
        <w:rPr>
          <w:rFonts w:cs="Arial"/>
          <w:sz w:val="22"/>
          <w:szCs w:val="22"/>
        </w:rPr>
        <w:t>a) Investigaciones revisadas</w:t>
      </w:r>
    </w:p>
    <w:p w14:paraId="4FD4A25C" w14:textId="03BECE80" w:rsidR="00F9625C" w:rsidRPr="00F9625C" w:rsidRDefault="00F9625C" w:rsidP="00F9625C">
      <w:pPr>
        <w:spacing w:after="80"/>
        <w:rPr>
          <w:rFonts w:cs="Arial"/>
          <w:sz w:val="22"/>
          <w:szCs w:val="22"/>
        </w:rPr>
      </w:pPr>
      <w:r w:rsidRPr="00F9625C">
        <w:rPr>
          <w:rFonts w:cs="Arial"/>
          <w:sz w:val="22"/>
          <w:szCs w:val="22"/>
        </w:rPr>
        <w:t xml:space="preserve">1. </w:t>
      </w:r>
      <w:r>
        <w:rPr>
          <w:rFonts w:cs="Arial"/>
          <w:sz w:val="22"/>
          <w:szCs w:val="22"/>
        </w:rPr>
        <w:tab/>
      </w:r>
      <w:r w:rsidRPr="00F9625C">
        <w:rPr>
          <w:rFonts w:cs="Arial"/>
          <w:sz w:val="22"/>
          <w:szCs w:val="22"/>
        </w:rPr>
        <w:t>López Espinosa (2023). Registro internacional. Analizar el impacto de la minería ilegal en las provincias amazónicas de Napo y Pastaza, particularmente en relación con la vulneración de los derechos de los pueblos indígenas y los derechos de la naturaleza reconocidos constitucionalmente en el Ecuador. La investigación adopta un enfoque eminentemente cualitativo, sustentado en el análisis jurídico, doctrinario, constitucional e internacional de la problemática minera. El estudio concluye que la minería ilegal constituye una de las principales amenazas para los derechos de la naturaleza y los pueblos indígenas amazónicos. La actividad genera contaminación por mercurio, destrucción de ecosistemas, desplazamiento de comunidades, afectación a la salud humana y debilitamiento de la gobernabilidad estatal. La autora sostiene que la minería ilegal vulnera simultáneamente los derechos de la naturaleza y los derechos colectivos de los pueblos indígenas.</w:t>
      </w:r>
    </w:p>
    <w:p w14:paraId="2B65747F" w14:textId="4A04C4A4" w:rsidR="00F9625C" w:rsidRPr="00F9625C" w:rsidRDefault="00F9625C" w:rsidP="00F9625C">
      <w:pPr>
        <w:spacing w:after="80"/>
        <w:rPr>
          <w:rFonts w:cs="Arial"/>
          <w:sz w:val="22"/>
          <w:szCs w:val="22"/>
        </w:rPr>
      </w:pPr>
      <w:r w:rsidRPr="00F9625C">
        <w:rPr>
          <w:rFonts w:cs="Arial"/>
          <w:sz w:val="22"/>
          <w:szCs w:val="22"/>
        </w:rPr>
        <w:t xml:space="preserve">2. </w:t>
      </w:r>
      <w:r>
        <w:rPr>
          <w:rFonts w:cs="Arial"/>
          <w:sz w:val="22"/>
          <w:szCs w:val="22"/>
        </w:rPr>
        <w:tab/>
      </w:r>
      <w:r w:rsidRPr="00F9625C">
        <w:rPr>
          <w:rFonts w:cs="Arial"/>
          <w:sz w:val="22"/>
          <w:szCs w:val="22"/>
        </w:rPr>
        <w:t xml:space="preserve">Martínez-Moscoso y Warner (2025). Registro internacional. El objetivo principal del artículo es analizar el alcance contemporáneo de los derechos de la naturaleza como paradigma jurídico y socio ambiental, examinando cómo distintos actores —jueces, comunidades indígenas, movimientos sociales, organizaciones ambientales, científicos y autoridades públicas— utilizan esta categoría para proteger ecosistemas, especialmente ríos, y para articular la protección ambiental con otros derechos humanos, colectivos, culturales, sociales y económicos. El documento presenta un enfoque cualitativo, interdisciplinario, </w:t>
      </w:r>
      <w:proofErr w:type="spellStart"/>
      <w:r w:rsidRPr="00F9625C">
        <w:rPr>
          <w:rFonts w:cs="Arial"/>
          <w:sz w:val="22"/>
          <w:szCs w:val="22"/>
        </w:rPr>
        <w:t>sociojurídico</w:t>
      </w:r>
      <w:proofErr w:type="spellEnd"/>
      <w:r w:rsidRPr="00F9625C">
        <w:rPr>
          <w:rFonts w:cs="Arial"/>
          <w:sz w:val="22"/>
          <w:szCs w:val="22"/>
        </w:rPr>
        <w:t xml:space="preserve"> y comparado. El resultado principal del artículo es que los derechos de la naturaleza constituyen un paradigma jurídico innovador, pero no deben ser considerados un destino final ni una solución autónoma. El artículo sostiene que deben funcionar como un puente hacia una protección ecosistémica más amplia. La conclusión fundamental del artículo es que los derechos de la naturaleza constituyen un nuevo paradigma jurídico del siglo XXI.</w:t>
      </w:r>
    </w:p>
    <w:p w14:paraId="6E32F424" w14:textId="33F8A4A1" w:rsidR="00F9625C" w:rsidRPr="00F9625C" w:rsidRDefault="00F9625C" w:rsidP="00F9625C">
      <w:pPr>
        <w:spacing w:after="80"/>
        <w:rPr>
          <w:rFonts w:cs="Arial"/>
          <w:sz w:val="22"/>
          <w:szCs w:val="22"/>
        </w:rPr>
      </w:pPr>
      <w:r w:rsidRPr="00F9625C">
        <w:rPr>
          <w:rFonts w:cs="Arial"/>
          <w:sz w:val="22"/>
          <w:szCs w:val="22"/>
        </w:rPr>
        <w:t xml:space="preserve">3. </w:t>
      </w:r>
      <w:r>
        <w:rPr>
          <w:rFonts w:cs="Arial"/>
          <w:sz w:val="22"/>
          <w:szCs w:val="22"/>
        </w:rPr>
        <w:tab/>
      </w:r>
      <w:r w:rsidRPr="00F9625C">
        <w:rPr>
          <w:rFonts w:cs="Arial"/>
          <w:sz w:val="22"/>
          <w:szCs w:val="22"/>
        </w:rPr>
        <w:t xml:space="preserve">Robalino Altamirano y Cárdenas Paredes (2025). Registro internacional. Analizar las causas y los factores que dificultan la erradicación de la minería ilegal en Ecuador, prestando especial atención a las deficiencias del marco jurídico, la participación extranjera y los desafíos institucionales que limitan la eficacia del control estatal. El estudio emplea un enfoque cualitativo, mediante un método descriptivo, documental y jurídico-analítico. Los principales resultados evidencian que: Ecuador cuenta con un marco jurídico relativamente desarrollado para regular y sancionar la minería ilegal. Persisten deficiencias en la aplicación efectiva de las normas. La </w:t>
      </w:r>
      <w:r w:rsidRPr="00F9625C">
        <w:rPr>
          <w:rFonts w:cs="Arial"/>
          <w:sz w:val="22"/>
          <w:szCs w:val="22"/>
        </w:rPr>
        <w:lastRenderedPageBreak/>
        <w:t>investigación concluye que la minería ilegal constituye un problema multidimensional que afecta simultáneamente al ambiente, la economía, la institucionalidad y el bienestar social.</w:t>
      </w:r>
    </w:p>
    <w:p w14:paraId="33CCF846" w14:textId="64D095F8" w:rsidR="00F9625C" w:rsidRPr="00F9625C" w:rsidRDefault="00F9625C" w:rsidP="00F9625C">
      <w:pPr>
        <w:spacing w:after="80"/>
        <w:rPr>
          <w:rFonts w:cs="Arial"/>
          <w:sz w:val="22"/>
          <w:szCs w:val="22"/>
        </w:rPr>
      </w:pPr>
      <w:r w:rsidRPr="00F9625C">
        <w:rPr>
          <w:rFonts w:cs="Arial"/>
          <w:sz w:val="22"/>
          <w:szCs w:val="22"/>
        </w:rPr>
        <w:t xml:space="preserve">4. </w:t>
      </w:r>
      <w:r>
        <w:rPr>
          <w:rFonts w:cs="Arial"/>
          <w:sz w:val="22"/>
          <w:szCs w:val="22"/>
        </w:rPr>
        <w:tab/>
      </w:r>
      <w:r w:rsidRPr="00F9625C">
        <w:rPr>
          <w:rFonts w:cs="Arial"/>
          <w:sz w:val="22"/>
          <w:szCs w:val="22"/>
        </w:rPr>
        <w:t>Zambrano Reyna y Paz Zamora (2024). Registro internacional. Analizar el desarrollo y la implementación de la justicia constitucional en defensa de los derechos de la naturaleza, mediante una comparación entre Ecuador y otros países de América Latina, evaluando sus avances, mecanismos jurídicos, jurisprudencia y desafíos de aplicación práctica. El estudio emplea un enfoque cualitativo, basado en una revisión documental, jurídica y comparativa. Los principales resultados del estudio son: Ecuador constituye el principal referente regional en el reconocimiento constitucional expreso de los derechos de la naturaleza. La Constitución ecuatoriana de 2008 representa una transformación jurídica al reconocer a la naturaleza como sujeto de derechos. El estudio concluye que el reconocimiento de los derechos de la naturaleza representa una transformación paradigmática del derecho ambiental latinoamericano.</w:t>
      </w:r>
    </w:p>
    <w:p w14:paraId="595D5E2F" w14:textId="311630FF" w:rsidR="00F9625C" w:rsidRPr="00F9625C" w:rsidRDefault="00F9625C" w:rsidP="00F9625C">
      <w:pPr>
        <w:spacing w:after="80"/>
        <w:rPr>
          <w:rFonts w:cs="Arial"/>
          <w:sz w:val="22"/>
          <w:szCs w:val="22"/>
        </w:rPr>
      </w:pPr>
      <w:r w:rsidRPr="00F9625C">
        <w:rPr>
          <w:rFonts w:cs="Arial"/>
          <w:sz w:val="22"/>
          <w:szCs w:val="22"/>
        </w:rPr>
        <w:t xml:space="preserve">5. </w:t>
      </w:r>
      <w:r>
        <w:rPr>
          <w:rFonts w:cs="Arial"/>
          <w:sz w:val="22"/>
          <w:szCs w:val="22"/>
        </w:rPr>
        <w:tab/>
      </w:r>
      <w:proofErr w:type="spellStart"/>
      <w:r w:rsidRPr="00F9625C">
        <w:rPr>
          <w:rFonts w:cs="Arial"/>
          <w:sz w:val="22"/>
          <w:szCs w:val="22"/>
        </w:rPr>
        <w:t>Lostal</w:t>
      </w:r>
      <w:proofErr w:type="spellEnd"/>
      <w:r w:rsidRPr="00F9625C">
        <w:rPr>
          <w:rFonts w:cs="Arial"/>
          <w:sz w:val="22"/>
          <w:szCs w:val="22"/>
        </w:rPr>
        <w:t xml:space="preserve"> y Colón Ríos (2025). Registro internacional. El objetivo principal del documento es evaluar críticamente la efectividad real de la implementación de los derechos de la Naturaleza mediante un diagnóstico comparado de diferentes modelos jurídicos. El documento utiliza un enfoque cualitativo, jurídico-comparado y crítico. El resultado principal del documento es que el reconocimiento jurídico de los derechos de la Naturaleza constituye un avance importante, pero no garantiza por sí mismo una transformación </w:t>
      </w:r>
      <w:proofErr w:type="spellStart"/>
      <w:r w:rsidRPr="00F9625C">
        <w:rPr>
          <w:rFonts w:cs="Arial"/>
          <w:sz w:val="22"/>
          <w:szCs w:val="22"/>
        </w:rPr>
        <w:t>ecocéntrica</w:t>
      </w:r>
      <w:proofErr w:type="spellEnd"/>
      <w:r w:rsidRPr="00F9625C">
        <w:rPr>
          <w:rFonts w:cs="Arial"/>
          <w:sz w:val="22"/>
          <w:szCs w:val="22"/>
        </w:rPr>
        <w:t xml:space="preserve"> real. Los autores identifican una tensión fundamental entre: la promesa transformadora de los derechos de la Naturaleza y la capacidad de los sistemas jurídicos tradicionales para absorber, reinterpretar y limitar esa transformación. La conclusión central del documento es que los derechos de la Naturaleza representan un avance jurídico y cultural significativo, pero su efectividad depende de la manera en que sean implementados.</w:t>
      </w:r>
    </w:p>
    <w:p w14:paraId="6DF31939" w14:textId="3B6281AD" w:rsidR="00F9625C" w:rsidRPr="00F9625C" w:rsidRDefault="00F9625C" w:rsidP="00F9625C">
      <w:pPr>
        <w:spacing w:after="80"/>
        <w:rPr>
          <w:rFonts w:cs="Arial"/>
          <w:sz w:val="22"/>
          <w:szCs w:val="22"/>
        </w:rPr>
      </w:pPr>
      <w:r w:rsidRPr="00F9625C">
        <w:rPr>
          <w:rFonts w:cs="Arial"/>
          <w:sz w:val="22"/>
          <w:szCs w:val="22"/>
        </w:rPr>
        <w:t>6.</w:t>
      </w:r>
      <w:r>
        <w:rPr>
          <w:rFonts w:cs="Arial"/>
          <w:sz w:val="22"/>
          <w:szCs w:val="22"/>
        </w:rPr>
        <w:tab/>
      </w:r>
      <w:r w:rsidRPr="00F9625C">
        <w:rPr>
          <w:rFonts w:cs="Arial"/>
          <w:sz w:val="22"/>
          <w:szCs w:val="22"/>
        </w:rPr>
        <w:t xml:space="preserve"> Moreno Coello (2025). Registro internacional. El objetivo principal de la investigación es analizar la vulneración de los derechos de la Naturaleza ocasionada por la autorización de actividades mineras dentro del Bosque Protector Los Cedros, considerando las decisiones administrativas relacionadas con el registro ambiental y el plan de manejo ambiental. El documento utiliza un enfoque cualitativo. El resultado central de la investigación es que la autorización de actividades mineras dentro del Bosque Protector Los Cedros generó una afectación jurídicamente relevante a los derechos de la Naturaleza. La investigación identifica una contradicción entre la obligación estatal de proteger los ecosistemas frágiles y la actuación administrativa que </w:t>
      </w:r>
      <w:r w:rsidRPr="00F9625C">
        <w:rPr>
          <w:rFonts w:cs="Arial"/>
          <w:sz w:val="22"/>
          <w:szCs w:val="22"/>
        </w:rPr>
        <w:lastRenderedPageBreak/>
        <w:t>permitió la actividad minera mediante instrumentos como el registro ambiental y el plan de manejo ambiental. La conclusión principal es que la actividad minera dentro del Bosque Protector Los Cedros resulta incompatible con la obligación de garantizar una protección efectiva de los derechos de la Naturaleza cuando las autorizaciones administrativas no consideran adecuadamente la fragilidad del ecosistema y los riesgos potenciales de la actividad.</w:t>
      </w:r>
    </w:p>
    <w:p w14:paraId="221B8BFB" w14:textId="4D1597EC" w:rsidR="00F9625C" w:rsidRPr="00F9625C" w:rsidRDefault="00F9625C" w:rsidP="00F9625C">
      <w:pPr>
        <w:spacing w:after="80"/>
        <w:rPr>
          <w:rFonts w:cs="Arial"/>
          <w:sz w:val="22"/>
          <w:szCs w:val="22"/>
        </w:rPr>
      </w:pPr>
      <w:r w:rsidRPr="00F9625C">
        <w:rPr>
          <w:rFonts w:cs="Arial"/>
          <w:sz w:val="22"/>
          <w:szCs w:val="22"/>
        </w:rPr>
        <w:t xml:space="preserve">7. </w:t>
      </w:r>
      <w:r>
        <w:rPr>
          <w:rFonts w:cs="Arial"/>
          <w:sz w:val="22"/>
          <w:szCs w:val="22"/>
        </w:rPr>
        <w:tab/>
      </w:r>
      <w:r w:rsidRPr="00F9625C">
        <w:rPr>
          <w:rFonts w:cs="Arial"/>
          <w:sz w:val="22"/>
          <w:szCs w:val="22"/>
        </w:rPr>
        <w:t>Basurto-Velásquez et al. (2024). Registro internacional. El objetivo general de la investigación es analizar jurídicamente la contaminación de las afluentes del Río San Antonio a causa de la minería ilegal en Ecuador. El artículo declara la utilización del método cuantitativo, orientado a producir datos descriptivos a partir de la recolección de información. El primer resultado relevante es que el 56 % de las personas encuestadas no tenía conocimiento sobre el caso de minería desarrollado en el cantón Caluma, mientras que el 44 % sí conocía la situación. Este resultado evidencia una limitada difusión social del problema ambiental dentro del propio territorio afectado. La investigación concluye que Ecuador cuenta con una normativa destinada a regular la actividad minera en el territorio nacional, pero el problema se encuentra en la necesidad de asegurar el cumplimiento efectivo de dichas normas.</w:t>
      </w:r>
    </w:p>
    <w:p w14:paraId="15D5E1CB" w14:textId="50721CEA" w:rsidR="00F9625C" w:rsidRPr="00F9625C" w:rsidRDefault="00F9625C" w:rsidP="00F9625C">
      <w:pPr>
        <w:spacing w:after="80"/>
        <w:rPr>
          <w:rFonts w:cs="Arial"/>
          <w:sz w:val="22"/>
          <w:szCs w:val="22"/>
        </w:rPr>
      </w:pPr>
      <w:r w:rsidRPr="00F9625C">
        <w:rPr>
          <w:rFonts w:cs="Arial"/>
          <w:sz w:val="22"/>
          <w:szCs w:val="22"/>
        </w:rPr>
        <w:t xml:space="preserve">8. </w:t>
      </w:r>
      <w:r>
        <w:rPr>
          <w:rFonts w:cs="Arial"/>
          <w:sz w:val="22"/>
          <w:szCs w:val="22"/>
        </w:rPr>
        <w:tab/>
      </w:r>
      <w:r w:rsidRPr="00F9625C">
        <w:rPr>
          <w:rFonts w:cs="Arial"/>
          <w:sz w:val="22"/>
          <w:szCs w:val="22"/>
        </w:rPr>
        <w:t>Vinueza Arroyo et al. (2025). Registro internacional. El artículo evalúa la eficacia de la normativa ecuatoriana frente a la minería ilegal mediante una comparación con los marcos jurídicos de Perú y Colombia. Adopta un enfoque cualitativo, comparativo y multinacional, utilizando un diseño de Sistemas Más Similares para examinar tres países amazónicos con características geográficas, ambientales y socioeconómicas comparables. Los resultados muestran coincidencias en protección ambiental, regulación de concesiones, derechos de las comunidades y lucha contra la minería ilegal, pero diferencias de énfasis: Ecuador prioriza control ambiental, evaluación de impacto y restauración post-minería; Perú, estudios de impacto ambiental, consulta previa y restauración de ecosistemas; y Colombia, derechos comunitarios, fiscalización y penalización. El estudio concluye que la solidez normativa no garantiza por sí sola eficacia, pues la aplicación depende de capacidad institucional, monitoreo, sanción, recursos, control de la corrupción y colaboración con las comunidades.</w:t>
      </w:r>
    </w:p>
    <w:p w14:paraId="4943F8C5" w14:textId="44CC113A" w:rsidR="00F9625C" w:rsidRPr="00F9625C" w:rsidRDefault="00F9625C" w:rsidP="00F9625C">
      <w:pPr>
        <w:spacing w:after="80"/>
        <w:rPr>
          <w:rFonts w:cs="Arial"/>
          <w:sz w:val="22"/>
          <w:szCs w:val="22"/>
        </w:rPr>
      </w:pPr>
      <w:r w:rsidRPr="00F9625C">
        <w:rPr>
          <w:rFonts w:cs="Arial"/>
          <w:sz w:val="22"/>
          <w:szCs w:val="22"/>
        </w:rPr>
        <w:t xml:space="preserve">9. </w:t>
      </w:r>
      <w:r>
        <w:rPr>
          <w:rFonts w:cs="Arial"/>
          <w:sz w:val="22"/>
          <w:szCs w:val="22"/>
        </w:rPr>
        <w:tab/>
      </w:r>
      <w:r w:rsidRPr="00F9625C">
        <w:rPr>
          <w:rFonts w:cs="Arial"/>
          <w:sz w:val="22"/>
          <w:szCs w:val="22"/>
        </w:rPr>
        <w:t xml:space="preserve">Cumbe-Figueroa y Vargas-Chaves (2023). Registro internacional. Analizar la narrativa liberal del reconocimiento de los derechos de la naturaleza en Colombia, Ecuador y Bolivia, así como estudiar la manera en que el constitucionalismo andino ha interpretado este fenómeno desde la gramática constitucional y los procesos de reconocimiento jurídico. La investigación posee un enfoque cualitativo, sustentado en el </w:t>
      </w:r>
      <w:r w:rsidRPr="00F9625C">
        <w:rPr>
          <w:rFonts w:cs="Arial"/>
          <w:sz w:val="22"/>
          <w:szCs w:val="22"/>
        </w:rPr>
        <w:lastRenderedPageBreak/>
        <w:t xml:space="preserve">paradigma hermenéutico e interpretativo del derecho constitucional y ambiental. La investigación demuestra que los derechos de la naturaleza han seguido procesos de reconocimiento distintos en cada país. Ecuador presenta el reconocimiento constitucional más robusto al consagrar expresamente a la naturaleza como sujeto de derechos; Bolivia incorpora este reconocimiento mediante legislación específica inspirada en la cosmovisión de la Madre Tierra; mientras que Colombia desarrolla esta figura principalmente a través de la jurisprudencia constitucional, particularmente mediante el reconocimiento de ecosistemas como sujetos de derechos. Los autores concluyen que los derechos de la naturaleza representan una transformación profunda del constitucionalismo latinoamericano al desplazar progresivamente la visión antropocéntrica hacia una perspectiva </w:t>
      </w:r>
      <w:proofErr w:type="spellStart"/>
      <w:r w:rsidRPr="00F9625C">
        <w:rPr>
          <w:rFonts w:cs="Arial"/>
          <w:sz w:val="22"/>
          <w:szCs w:val="22"/>
        </w:rPr>
        <w:t>biocéntrica</w:t>
      </w:r>
      <w:proofErr w:type="spellEnd"/>
      <w:r w:rsidRPr="00F9625C">
        <w:rPr>
          <w:rFonts w:cs="Arial"/>
          <w:sz w:val="22"/>
          <w:szCs w:val="22"/>
        </w:rPr>
        <w:t xml:space="preserve"> y </w:t>
      </w:r>
      <w:proofErr w:type="spellStart"/>
      <w:r w:rsidRPr="00F9625C">
        <w:rPr>
          <w:rFonts w:cs="Arial"/>
          <w:sz w:val="22"/>
          <w:szCs w:val="22"/>
        </w:rPr>
        <w:t>ecocéntrica</w:t>
      </w:r>
      <w:proofErr w:type="spellEnd"/>
      <w:r w:rsidRPr="00F9625C">
        <w:rPr>
          <w:rFonts w:cs="Arial"/>
          <w:sz w:val="22"/>
          <w:szCs w:val="22"/>
        </w:rPr>
        <w:t>.</w:t>
      </w:r>
    </w:p>
    <w:p w14:paraId="4FAB771B" w14:textId="77777777" w:rsidR="00F9625C" w:rsidRPr="00F9625C" w:rsidRDefault="00F9625C" w:rsidP="00F9625C">
      <w:pPr>
        <w:spacing w:after="80"/>
        <w:rPr>
          <w:rFonts w:cs="Arial"/>
          <w:sz w:val="22"/>
          <w:szCs w:val="22"/>
        </w:rPr>
      </w:pPr>
      <w:r w:rsidRPr="00F9625C">
        <w:rPr>
          <w:rFonts w:cs="Arial"/>
          <w:sz w:val="22"/>
          <w:szCs w:val="22"/>
        </w:rPr>
        <w:t>10. Hincapié (2023). Registro internacional. Analizar la evolución de la gobernanza ambiental global frente al cambio climático y la transición energética, examinando el papel que desempeñan los derechos de la naturaleza en América Latina como mecanismo jurídico, político y socioambiental para fortalecer la protección de los ecosistemas y contribuir a una gobernanza ambiental más efectiva frente a las limitaciones del sistema internacional. La investigación presenta un enfoque cualitativo, sustentado en el análisis jurídico, político e institucional. El estudio demuestra que la gobernanza ambiental global enfrenta importantes limitaciones derivadas de la falta de mecanismos eficaces de cumplimiento de los acuerdos internacionales sobre cambio climático. La autora sostiene que existe una contradicción entre los compromisos internacionales para reducir las emisiones contaminantes y la continuidad de políticas económicas orientadas a proteger grandes inversiones en hidrocarburos y actividades extractivas. La investigación concluye que la gobernanza ambiental global presenta profundas contradicciones estructurales que dificultan el cumplimiento efectivo de los compromisos internacionales frente al cambio climático.</w:t>
      </w:r>
    </w:p>
    <w:p w14:paraId="000522FA" w14:textId="63BDBE34" w:rsidR="00F9625C" w:rsidRPr="00F9625C" w:rsidRDefault="00F9625C" w:rsidP="00F9625C">
      <w:pPr>
        <w:spacing w:after="80"/>
        <w:rPr>
          <w:rFonts w:cs="Arial"/>
          <w:sz w:val="22"/>
          <w:szCs w:val="22"/>
        </w:rPr>
      </w:pPr>
      <w:r w:rsidRPr="00F9625C">
        <w:rPr>
          <w:rFonts w:cs="Arial"/>
          <w:sz w:val="22"/>
          <w:szCs w:val="22"/>
        </w:rPr>
        <w:t xml:space="preserve">11. </w:t>
      </w:r>
      <w:r>
        <w:rPr>
          <w:rFonts w:cs="Arial"/>
          <w:sz w:val="22"/>
          <w:szCs w:val="22"/>
        </w:rPr>
        <w:tab/>
      </w:r>
      <w:r w:rsidRPr="00F9625C">
        <w:rPr>
          <w:rFonts w:cs="Arial"/>
          <w:sz w:val="22"/>
          <w:szCs w:val="22"/>
        </w:rPr>
        <w:t xml:space="preserve">Prince Torres (2023). Registro internacional. Comprender la vulneración de los derechos ambientales ocasionada por la minería ilegal durante la pandemia de COVID-19 en América Latina, identificando la relación entre el incremento de esta actividad ilícita y la afectación de diversos derechos humanos fundamentales. La investigación adopta un enfoque cualitativo, sustentado en una investigación documental de carácter descriptivo, analítico e interpretativo. Los principales hallazgos evidencian que: La pandemia favoreció el incremento de la minería ilegal debido al deterioro económico y al debilitamiento de los mecanismos estatales de fiscalización. La minería ilegal constituye una de las principales amenazas para los derechos ambientales en América </w:t>
      </w:r>
      <w:r w:rsidRPr="00F9625C">
        <w:rPr>
          <w:rFonts w:cs="Arial"/>
          <w:sz w:val="22"/>
          <w:szCs w:val="22"/>
        </w:rPr>
        <w:lastRenderedPageBreak/>
        <w:t>Latina. El autor concluye que la pandemia de COVID-19 fortaleció indirectamente la expansión de la minería ilegal en América Latina como consecuencia de la crisis económica, la reducción del control estatal y el aumento del valor internacional del oro.</w:t>
      </w:r>
    </w:p>
    <w:p w14:paraId="601B6DF7" w14:textId="16A52C30" w:rsidR="00F9625C" w:rsidRPr="00F9625C" w:rsidRDefault="00F9625C" w:rsidP="00F9625C">
      <w:pPr>
        <w:spacing w:after="80"/>
        <w:rPr>
          <w:rFonts w:cs="Arial"/>
          <w:sz w:val="22"/>
          <w:szCs w:val="22"/>
        </w:rPr>
      </w:pPr>
      <w:r w:rsidRPr="00F9625C">
        <w:rPr>
          <w:rFonts w:cs="Arial"/>
          <w:sz w:val="22"/>
          <w:szCs w:val="22"/>
        </w:rPr>
        <w:t xml:space="preserve">12. </w:t>
      </w:r>
      <w:r>
        <w:rPr>
          <w:rFonts w:cs="Arial"/>
          <w:sz w:val="22"/>
          <w:szCs w:val="22"/>
        </w:rPr>
        <w:tab/>
      </w:r>
      <w:r w:rsidRPr="00F9625C">
        <w:rPr>
          <w:rFonts w:cs="Arial"/>
          <w:sz w:val="22"/>
          <w:szCs w:val="22"/>
        </w:rPr>
        <w:t>Zambrano Reyna y Paz Zamora (2024). Registro internacional. Esta ficha corresponde a la misma publicación incluida en el registro internacional N.° 4. Se conserva en la exposición para mantener la trazabilidad de los 40 análisis entregados, pero la duplicación fue identificada durante el control metodológico. Los hallazgos más relevantes fueron: Ecuador es el país pionero en reconocer constitucionalmente los derechos de la naturaleza desde 2008. La Corte Constitucional ecuatoriana ha consolidado precedentes jurisprudenciales que reconocen a ríos y ecosistemas como sujetos de derechos.</w:t>
      </w:r>
    </w:p>
    <w:p w14:paraId="17568FD3" w14:textId="2982B6A2" w:rsidR="00F9625C" w:rsidRPr="00F9625C" w:rsidRDefault="00F9625C" w:rsidP="00F9625C">
      <w:pPr>
        <w:spacing w:after="80"/>
        <w:rPr>
          <w:rFonts w:cs="Arial"/>
          <w:sz w:val="22"/>
          <w:szCs w:val="22"/>
        </w:rPr>
      </w:pPr>
      <w:r w:rsidRPr="00F9625C">
        <w:rPr>
          <w:rFonts w:cs="Arial"/>
          <w:sz w:val="22"/>
          <w:szCs w:val="22"/>
        </w:rPr>
        <w:t xml:space="preserve">13. </w:t>
      </w:r>
      <w:r>
        <w:rPr>
          <w:rFonts w:cs="Arial"/>
          <w:sz w:val="22"/>
          <w:szCs w:val="22"/>
        </w:rPr>
        <w:tab/>
      </w:r>
      <w:proofErr w:type="spellStart"/>
      <w:r w:rsidRPr="00F9625C">
        <w:rPr>
          <w:rFonts w:cs="Arial"/>
          <w:sz w:val="22"/>
          <w:szCs w:val="22"/>
        </w:rPr>
        <w:t>Calapucha</w:t>
      </w:r>
      <w:proofErr w:type="spellEnd"/>
      <w:r w:rsidRPr="00F9625C">
        <w:rPr>
          <w:rFonts w:cs="Arial"/>
          <w:sz w:val="22"/>
          <w:szCs w:val="22"/>
        </w:rPr>
        <w:t xml:space="preserve"> </w:t>
      </w:r>
      <w:proofErr w:type="spellStart"/>
      <w:r w:rsidRPr="00F9625C">
        <w:rPr>
          <w:rFonts w:cs="Arial"/>
          <w:sz w:val="22"/>
          <w:szCs w:val="22"/>
        </w:rPr>
        <w:t>Tanguila</w:t>
      </w:r>
      <w:proofErr w:type="spellEnd"/>
      <w:r w:rsidRPr="00F9625C">
        <w:rPr>
          <w:rFonts w:cs="Arial"/>
          <w:sz w:val="22"/>
          <w:szCs w:val="22"/>
        </w:rPr>
        <w:t xml:space="preserve"> y </w:t>
      </w:r>
      <w:proofErr w:type="spellStart"/>
      <w:r w:rsidRPr="00F9625C">
        <w:rPr>
          <w:rFonts w:cs="Arial"/>
          <w:sz w:val="22"/>
          <w:szCs w:val="22"/>
        </w:rPr>
        <w:t>Ushca</w:t>
      </w:r>
      <w:proofErr w:type="spellEnd"/>
      <w:r w:rsidRPr="00F9625C">
        <w:rPr>
          <w:rFonts w:cs="Arial"/>
          <w:sz w:val="22"/>
          <w:szCs w:val="22"/>
        </w:rPr>
        <w:t xml:space="preserve"> </w:t>
      </w:r>
      <w:proofErr w:type="spellStart"/>
      <w:r w:rsidRPr="00F9625C">
        <w:rPr>
          <w:rFonts w:cs="Arial"/>
          <w:sz w:val="22"/>
          <w:szCs w:val="22"/>
        </w:rPr>
        <w:t>Ushca</w:t>
      </w:r>
      <w:proofErr w:type="spellEnd"/>
      <w:r w:rsidRPr="00F9625C">
        <w:rPr>
          <w:rFonts w:cs="Arial"/>
          <w:sz w:val="22"/>
          <w:szCs w:val="22"/>
        </w:rPr>
        <w:t xml:space="preserve"> (2025). Registro internacional. La investigación examina críticamente la eficacia de la protección constitucional de los derechos colectivos frente a actividades extractivistas ilegales, tomando como estudio de caso la comunidad </w:t>
      </w:r>
      <w:proofErr w:type="spellStart"/>
      <w:r w:rsidRPr="00F9625C">
        <w:rPr>
          <w:rFonts w:cs="Arial"/>
          <w:sz w:val="22"/>
          <w:szCs w:val="22"/>
        </w:rPr>
        <w:t>Kichwa</w:t>
      </w:r>
      <w:proofErr w:type="spellEnd"/>
      <w:r w:rsidRPr="00F9625C">
        <w:rPr>
          <w:rFonts w:cs="Arial"/>
          <w:sz w:val="22"/>
          <w:szCs w:val="22"/>
        </w:rPr>
        <w:t xml:space="preserve"> de </w:t>
      </w:r>
      <w:proofErr w:type="spellStart"/>
      <w:r w:rsidRPr="00F9625C">
        <w:rPr>
          <w:rFonts w:cs="Arial"/>
          <w:sz w:val="22"/>
          <w:szCs w:val="22"/>
        </w:rPr>
        <w:t>Yutzupino</w:t>
      </w:r>
      <w:proofErr w:type="spellEnd"/>
      <w:r w:rsidRPr="00F9625C">
        <w:rPr>
          <w:rFonts w:cs="Arial"/>
          <w:sz w:val="22"/>
          <w:szCs w:val="22"/>
        </w:rPr>
        <w:t>, en Napo. Adopta un enfoque cualitativo y jurídico de caso, con revisión documental, análisis doctrinario y entrevistas semiestructuradas a jueces y dirigentes indígenas. Los resultados muestran que Ecuador dispone de un marco constitucional robusto para los derechos colectivos y los derechos de la naturaleza, pero su eficacia práctica se ve limitada por la débil actuación estatal, la insuficiente fiscalización y el incumplimiento de mecanismos como la consulta previa. Las autoras concluyen que el desafío principal radica en garantizar el cumplimiento efectivo de las garantías existentes mediante instituciones fortalecidas, control estatal y participación indígena.</w:t>
      </w:r>
    </w:p>
    <w:p w14:paraId="6ED852FD" w14:textId="0136AC75" w:rsidR="00F9625C" w:rsidRPr="00F9625C" w:rsidRDefault="00F9625C" w:rsidP="00F9625C">
      <w:pPr>
        <w:spacing w:after="80"/>
        <w:rPr>
          <w:rFonts w:cs="Arial"/>
          <w:sz w:val="22"/>
          <w:szCs w:val="22"/>
        </w:rPr>
      </w:pPr>
      <w:r w:rsidRPr="00F9625C">
        <w:rPr>
          <w:rFonts w:cs="Arial"/>
          <w:sz w:val="22"/>
          <w:szCs w:val="22"/>
        </w:rPr>
        <w:t xml:space="preserve">14. </w:t>
      </w:r>
      <w:r>
        <w:rPr>
          <w:rFonts w:cs="Arial"/>
          <w:sz w:val="22"/>
          <w:szCs w:val="22"/>
        </w:rPr>
        <w:tab/>
      </w:r>
      <w:r w:rsidRPr="00F9625C">
        <w:rPr>
          <w:rFonts w:cs="Arial"/>
          <w:sz w:val="22"/>
          <w:szCs w:val="22"/>
        </w:rPr>
        <w:t>Becerra Guamán y Maldonado Ruiz (2025). Registro internacional. Identificar y evaluar las consecuencias ambientales y sociales de la minería ilegal en la Amazonía ecuatoriana, así como analizar los principales casos judiciales relacionados con esta actividad durante el período 2014-2024. El estudio presenta un enfoque cualitativo, documental, sistemático, jurídico y analítico. Los principales resultados son: La minería ilegal ha afectado aproximadamente 1.660 hectáreas de la selva amazónica ecuatoriana. Las provincias de Zamora Chinchipe y Napo presentan una concentración significativa de actividades mineras ilegales. La minería ilegal en la Amazonía ecuatoriana genera consecuencias graves sobre los ecosistemas y las poblaciones indígenas.</w:t>
      </w:r>
    </w:p>
    <w:p w14:paraId="7BF49CBB" w14:textId="599CE96B" w:rsidR="00F9625C" w:rsidRPr="00F9625C" w:rsidRDefault="00F9625C" w:rsidP="00F9625C">
      <w:pPr>
        <w:spacing w:after="80"/>
        <w:rPr>
          <w:rFonts w:cs="Arial"/>
          <w:sz w:val="22"/>
          <w:szCs w:val="22"/>
        </w:rPr>
      </w:pPr>
      <w:r w:rsidRPr="00F9625C">
        <w:rPr>
          <w:rFonts w:cs="Arial"/>
          <w:sz w:val="22"/>
          <w:szCs w:val="22"/>
        </w:rPr>
        <w:t xml:space="preserve">15. </w:t>
      </w:r>
      <w:r>
        <w:rPr>
          <w:rFonts w:cs="Arial"/>
          <w:sz w:val="22"/>
          <w:szCs w:val="22"/>
        </w:rPr>
        <w:tab/>
      </w:r>
      <w:r w:rsidRPr="00F9625C">
        <w:rPr>
          <w:rFonts w:cs="Arial"/>
          <w:sz w:val="22"/>
          <w:szCs w:val="22"/>
        </w:rPr>
        <w:t xml:space="preserve">Quijano Vallejos et al. (2020). Registro internacional. El objetivo central del informe es analizar los derechos de los pueblos indígenas sobre sus tierras y los </w:t>
      </w:r>
      <w:r w:rsidRPr="00F9625C">
        <w:rPr>
          <w:rFonts w:cs="Arial"/>
          <w:sz w:val="22"/>
          <w:szCs w:val="22"/>
        </w:rPr>
        <w:lastRenderedPageBreak/>
        <w:t>recursos minerales existentes en ellas, examinar el nivel de implementación y aplicación de esos derechos y estudiar la relación entre la actividad minera y los cambios en la cobertura forestal amazónica. El informe adopta un enfoque multidisciplinario, comparativo y de análisis documental-empírico, combinando revisión bibliográfica, análisis geoespacial, revisión jurídica y estudios de caso. El informe identifica que las concesiones mineras y la minería ilegal se superponen con aproximadamente 450.000 km² de tierras indígenas, equivalentes a más del 20 % de las tierras indígenas amazónicas analizadas, afectando 1.131 de 3.653 tierras indígenas, es decir, el 31 %. Asimismo, las áreas conocidas de minería ilegal se superponen con al menos 370 tierras indígenas, de las cuales 260 corresponden al Perú. El informe concluye que los marcos jurídicos de los países amazónicos reconocen determinados derechos territoriales indígenas, pero ofrecen derechos limitados sobre los minerales ubicados en sus tierras.</w:t>
      </w:r>
    </w:p>
    <w:p w14:paraId="722DB6A1" w14:textId="73B38400" w:rsidR="00F9625C" w:rsidRPr="00F9625C" w:rsidRDefault="00F9625C" w:rsidP="00F9625C">
      <w:pPr>
        <w:spacing w:after="80"/>
        <w:rPr>
          <w:rFonts w:cs="Arial"/>
          <w:sz w:val="22"/>
          <w:szCs w:val="22"/>
        </w:rPr>
      </w:pPr>
      <w:r w:rsidRPr="00F9625C">
        <w:rPr>
          <w:rFonts w:cs="Arial"/>
          <w:sz w:val="22"/>
          <w:szCs w:val="22"/>
        </w:rPr>
        <w:t xml:space="preserve">16. </w:t>
      </w:r>
      <w:r>
        <w:rPr>
          <w:rFonts w:cs="Arial"/>
          <w:sz w:val="22"/>
          <w:szCs w:val="22"/>
        </w:rPr>
        <w:tab/>
      </w:r>
      <w:r w:rsidRPr="00F9625C">
        <w:rPr>
          <w:rFonts w:cs="Arial"/>
          <w:sz w:val="22"/>
          <w:szCs w:val="22"/>
        </w:rPr>
        <w:t>Martínez-Alier et al. (2023). Registro internacional. Analizar globalmente en qué medida los proyectos extractivos y de desarrollo industrial afectan los modos de vida, las tierras y los derechos de los pueblos indígenas, cuantificando su exposición a impactos socioambientales adversos y examinando sus implicancias para la justicia ambiental y los derechos indígenas. El estudio adopta un enfoque cuantitativo, comparativo, global y de ecología política, fundamentado en la justicia ambiental y los derechos de los pueblos indígenas. El estudio determina que los pueblos indígenas están involucrados en al menos el 34 % de todos los conflictos ambientales documentados a nivel mundial. Más de las tres cuartas partes de estos conflictos están relacionados con cuatro sectores principales: minería, combustibles fósiles, agricultura/silvicultura/pesca/ganadería y represas. El estudio concluye que los proyectos extractivos e industriales generan impactos socioambientales de gran magnitud sobre los pueblos indígenas a escala mundial.</w:t>
      </w:r>
    </w:p>
    <w:p w14:paraId="5EC432B3" w14:textId="48DBD927" w:rsidR="00F9625C" w:rsidRPr="00F9625C" w:rsidRDefault="00F9625C" w:rsidP="00F9625C">
      <w:pPr>
        <w:spacing w:after="80"/>
        <w:rPr>
          <w:rFonts w:cs="Arial"/>
          <w:sz w:val="22"/>
          <w:szCs w:val="22"/>
        </w:rPr>
      </w:pPr>
      <w:r w:rsidRPr="00F9625C">
        <w:rPr>
          <w:rFonts w:cs="Arial"/>
          <w:sz w:val="22"/>
          <w:szCs w:val="22"/>
        </w:rPr>
        <w:t xml:space="preserve">17. </w:t>
      </w:r>
      <w:r>
        <w:rPr>
          <w:rFonts w:cs="Arial"/>
          <w:sz w:val="22"/>
          <w:szCs w:val="22"/>
        </w:rPr>
        <w:tab/>
      </w:r>
      <w:r w:rsidRPr="00F9625C">
        <w:rPr>
          <w:rFonts w:cs="Arial"/>
          <w:sz w:val="22"/>
          <w:szCs w:val="22"/>
        </w:rPr>
        <w:t xml:space="preserve">Olivares Alanís (2013). Registro internacional. El artículo analiza la evolución de la jurisprudencia de la Comisión y la Corte Interamericanas de Derechos Humanos sobre los derechos de los pueblos indígenas frente a industrias extractivas. Mediante una investigación cualitativa, jurídico-doctrinal y documental, examina precedentes sobre propiedad comunal, recursos naturales, consulta previa y consentimiento libre, previo e informado. El estudio muestra que la jurisprudencia interamericana amplió progresivamente la protección de los territorios y recursos indispensables para la supervivencia física, cultural y espiritual de los pueblos indígenas y estableció exigencias de legalidad, necesidad, proporcionalidad y participación efectiva para las restricciones derivadas de proyectos extractivos. Su principal aporte es sistematizar </w:t>
      </w:r>
      <w:r w:rsidRPr="00F9625C">
        <w:rPr>
          <w:rFonts w:cs="Arial"/>
          <w:sz w:val="22"/>
          <w:szCs w:val="22"/>
        </w:rPr>
        <w:lastRenderedPageBreak/>
        <w:t>estándares jurídicos que condicionan la actuación estatal frente a actividades mineras, petroleras e hidroeléctricas en territorios tradicionales.</w:t>
      </w:r>
    </w:p>
    <w:p w14:paraId="27D9F2BE" w14:textId="35268F66" w:rsidR="00F9625C" w:rsidRPr="00F9625C" w:rsidRDefault="00F9625C" w:rsidP="00F9625C">
      <w:pPr>
        <w:spacing w:after="80"/>
        <w:rPr>
          <w:rFonts w:cs="Arial"/>
          <w:sz w:val="22"/>
          <w:szCs w:val="22"/>
        </w:rPr>
      </w:pPr>
      <w:r w:rsidRPr="00F9625C">
        <w:rPr>
          <w:rFonts w:cs="Arial"/>
          <w:sz w:val="22"/>
          <w:szCs w:val="22"/>
        </w:rPr>
        <w:t xml:space="preserve">18. </w:t>
      </w:r>
      <w:r>
        <w:rPr>
          <w:rFonts w:cs="Arial"/>
          <w:sz w:val="22"/>
          <w:szCs w:val="22"/>
        </w:rPr>
        <w:tab/>
      </w:r>
      <w:r w:rsidRPr="00F9625C">
        <w:rPr>
          <w:rFonts w:cs="Arial"/>
          <w:sz w:val="22"/>
          <w:szCs w:val="22"/>
        </w:rPr>
        <w:t>Barbosa et al. (2022). Registro internacional. Analizar la relación entre las actividades mineras y la soberanía y seguridad alimentaria de los pueblos indígenas y las comunidades locales, identificando los principales impactos ambientales, sociales y sanitarios derivados de la contaminación minera, así como las políticas y estrategias necesarias para fortalecer la protección de estos grupos vulnerables. Enfoque cuantitativo y cualitativo. La investigación demuestra que las actividades mineras afectan negativamente la soberanía y la seguridad alimentaria de los pueblos indígenas y las comunidades locales mediante la contaminación de suelos, fuentes de agua y alimentos. Asimismo, identifica que los países con menor desarrollo humano, menor desempeño ambiental y mayor intensidad minera presentan mayores niveles de inseguridad alimentaria. La minería constituye un factor determinante en el deterioro de la soberanía alimentaria de los pueblos indígenas y las comunidades locales, debido a la contaminación ambiental, la pérdida de recursos alimentarios y las limitaciones de las políticas públicas.</w:t>
      </w:r>
    </w:p>
    <w:p w14:paraId="6F422435" w14:textId="23581AEA" w:rsidR="00F9625C" w:rsidRPr="00F9625C" w:rsidRDefault="00F9625C" w:rsidP="00F9625C">
      <w:pPr>
        <w:spacing w:after="80"/>
        <w:rPr>
          <w:rFonts w:cs="Arial"/>
          <w:sz w:val="22"/>
          <w:szCs w:val="22"/>
        </w:rPr>
      </w:pPr>
      <w:r w:rsidRPr="00F9625C">
        <w:rPr>
          <w:rFonts w:cs="Arial"/>
          <w:sz w:val="22"/>
          <w:szCs w:val="22"/>
        </w:rPr>
        <w:t xml:space="preserve">19. </w:t>
      </w:r>
      <w:r>
        <w:rPr>
          <w:rFonts w:cs="Arial"/>
          <w:sz w:val="22"/>
          <w:szCs w:val="22"/>
        </w:rPr>
        <w:tab/>
      </w:r>
      <w:r w:rsidRPr="00F9625C">
        <w:rPr>
          <w:rFonts w:cs="Arial"/>
          <w:sz w:val="22"/>
          <w:szCs w:val="22"/>
        </w:rPr>
        <w:t>Benites (2023). Registro internacional. Analizar cómo se configuró el proceso de criminalización de la minería artesanal y de pequeña escala en Colombia y Perú, explicando de qué manera las élites políticas, económicas e institucionales construyeron discursos, estrategias normativas y mecanismos de gobernanza que favorecieron la expansión de la gran minería mediante la reconfiguración de los regímenes de recursos y la redefinición de la minería artesanal como un problema de seguridad, legalidad y protección ambiental. Enfoque cualitativo. La criminalización de la minería artesanal y de pequeña escala (MAPE) en Colombia y Perú no respondió exclusivamente a objetivos de protección ambiental, sino que constituyó un mecanismo de reconfiguración del régimen de gobernanza minera que favoreció la expansión territorial y política de la gran minería (LSM). En ambos países, los procesos de formalización y coerción estatal operaron de manera complementaria: la formalización restringió las posibilidades de incorporación de los pequeños mineros al régimen legal, mientras que la coerción fortaleció las acciones de control y persecución sobre la minería considerada ilegal. El autor concluye que la criminalización de la minería artesanal constituye un proceso político e institucional complejo que trasciende la aplicación del derecho penal ambiental.</w:t>
      </w:r>
    </w:p>
    <w:p w14:paraId="57740681" w14:textId="060D5B34" w:rsidR="00F9625C" w:rsidRPr="00F9625C" w:rsidRDefault="00F9625C" w:rsidP="00F9625C">
      <w:pPr>
        <w:spacing w:after="80"/>
        <w:rPr>
          <w:rFonts w:cs="Arial"/>
          <w:sz w:val="22"/>
          <w:szCs w:val="22"/>
        </w:rPr>
      </w:pPr>
      <w:r w:rsidRPr="00F9625C">
        <w:rPr>
          <w:rFonts w:cs="Arial"/>
          <w:sz w:val="22"/>
          <w:szCs w:val="22"/>
        </w:rPr>
        <w:t xml:space="preserve">20. </w:t>
      </w:r>
      <w:r>
        <w:rPr>
          <w:rFonts w:cs="Arial"/>
          <w:sz w:val="22"/>
          <w:szCs w:val="22"/>
        </w:rPr>
        <w:tab/>
      </w:r>
      <w:r w:rsidRPr="00F9625C">
        <w:rPr>
          <w:rFonts w:cs="Arial"/>
          <w:sz w:val="22"/>
          <w:szCs w:val="22"/>
        </w:rPr>
        <w:t xml:space="preserve">Montoya et al. (2022). Registro internacional. Analizar cómo los procesos de juridificación multiescalar son utilizados por comunidades indígenas y campesinas para </w:t>
      </w:r>
      <w:r w:rsidRPr="00F9625C">
        <w:rPr>
          <w:rFonts w:cs="Arial"/>
          <w:sz w:val="22"/>
          <w:szCs w:val="22"/>
        </w:rPr>
        <w:lastRenderedPageBreak/>
        <w:t xml:space="preserve">enfrentar los impactos de la industria minera, examinando simultáneamente las estrategias jurídicas desplegadas por los Estados y las empresas extractivas, así como las posibilidades y limitaciones que ofrece el pluralismo jurídico para la defensa de los derechos humanos y de los territorios en Honduras, Guatemala y México. Enfoque cualitativo. La investigación demuestra que la juridificación multiescalar se ha convertido en una de las principales estrategias empleadas por comunidades indígenas y campesinas para enfrentar la expansión de la industria minera, articulando acciones en los ámbitos comunitario, nacional e internacional con el propósito de proteger sus territorios y derechos colectivos. El estudio evidencia que el </w:t>
      </w:r>
      <w:proofErr w:type="spellStart"/>
      <w:r w:rsidRPr="00F9625C">
        <w:rPr>
          <w:rFonts w:cs="Arial"/>
          <w:sz w:val="22"/>
          <w:szCs w:val="22"/>
        </w:rPr>
        <w:t>lawfare</w:t>
      </w:r>
      <w:proofErr w:type="spellEnd"/>
      <w:r w:rsidRPr="00F9625C">
        <w:rPr>
          <w:rFonts w:cs="Arial"/>
          <w:sz w:val="22"/>
          <w:szCs w:val="22"/>
        </w:rPr>
        <w:t xml:space="preserve"> constituye un mecanismo recurrente de criminalización utilizado para debilitar la movilización social mediante procesos penales, persecución judicial, estigmatización y otras formas de uso instrumental del derecho contra defensores ambientales y líderes comunitarios. Los autores concluyen que la juridificación multiescalar constituye una herramienta indispensable para la defensa de los territorios frente a la industria minera; sin embargo, sus resultados dependen de la articulación entre diferentes jurisdicciones, de la capacidad organizativa de las comunidades y del contexto político e institucional en que se desarrolla el conflicto.</w:t>
      </w:r>
    </w:p>
    <w:p w14:paraId="192A6971" w14:textId="49708559" w:rsidR="00F9625C" w:rsidRPr="00F9625C" w:rsidRDefault="00F9625C" w:rsidP="00F9625C">
      <w:pPr>
        <w:spacing w:after="80"/>
        <w:rPr>
          <w:rFonts w:cs="Arial"/>
          <w:sz w:val="22"/>
          <w:szCs w:val="22"/>
        </w:rPr>
      </w:pPr>
      <w:r w:rsidRPr="00F9625C">
        <w:rPr>
          <w:rFonts w:cs="Arial"/>
          <w:sz w:val="22"/>
          <w:szCs w:val="22"/>
        </w:rPr>
        <w:t xml:space="preserve">21. </w:t>
      </w:r>
      <w:r>
        <w:rPr>
          <w:rFonts w:cs="Arial"/>
          <w:sz w:val="22"/>
          <w:szCs w:val="22"/>
        </w:rPr>
        <w:tab/>
      </w:r>
      <w:r w:rsidRPr="00F9625C">
        <w:rPr>
          <w:rFonts w:cs="Arial"/>
          <w:sz w:val="22"/>
          <w:szCs w:val="22"/>
        </w:rPr>
        <w:t>Chong Albornoz (2023). Registro nacional. La investigación tuvo como propósito determinar la eficacia de la gestión del Estado peruano frente a la minería ilegal durante el año 2023, evaluando la manera en que las instituciones públicas cumplen sus funciones de articulación, fiscalización y promoción de la formalización minera, con el propósito de establecer si la actuación estatal contribuye efectivamente a disminuir la expansión de la minería ilegal. El estudio adoptó un enfoque cuantitativo, sustentado en un método deductivo. El estudio demuestra que la percepción predominante de los participantes es que la gestión estatal presenta un desempeño únicamente regular, alcanzando un 82 %, mientras que la percepción respecto a la magnitud de la minería ilegal también fue calificada mayoritariamente como regular, con un 80 %. El análisis estadístico confirmó una asociación altamente significativa entre ambas variables, evidenciando que una mejora en la gestión estatal se relaciona con una disminución importante de la minería ilegal. La investigación concluye que la gestión del Estado peruano mantiene una relación significativa con la persistencia de la minería ilegal, evidenciándose que las deficiencias en la coordinación institucional, la limitada capacidad de fiscalización y la insuficiente implementación de las políticas de formalización han contribuido a la expansión de esta actividad ilícita.</w:t>
      </w:r>
    </w:p>
    <w:p w14:paraId="0B1BE115" w14:textId="7CB88EA8" w:rsidR="00F9625C" w:rsidRPr="00F9625C" w:rsidRDefault="00F9625C" w:rsidP="00F9625C">
      <w:pPr>
        <w:spacing w:after="80"/>
        <w:rPr>
          <w:rFonts w:cs="Arial"/>
          <w:sz w:val="22"/>
          <w:szCs w:val="22"/>
        </w:rPr>
      </w:pPr>
      <w:r w:rsidRPr="00F9625C">
        <w:rPr>
          <w:rFonts w:cs="Arial"/>
          <w:sz w:val="22"/>
          <w:szCs w:val="22"/>
        </w:rPr>
        <w:lastRenderedPageBreak/>
        <w:t xml:space="preserve">22. </w:t>
      </w:r>
      <w:r>
        <w:rPr>
          <w:rFonts w:cs="Arial"/>
          <w:sz w:val="22"/>
          <w:szCs w:val="22"/>
        </w:rPr>
        <w:tab/>
      </w:r>
      <w:r w:rsidRPr="00F9625C">
        <w:rPr>
          <w:rFonts w:cs="Arial"/>
          <w:sz w:val="22"/>
          <w:szCs w:val="22"/>
        </w:rPr>
        <w:t>Vásquez Aching (2025). Registro nacional. El objetivo general de la investigación consiste en analizar la relación existente entre la presencia de la minería ilegal y el deterioro de la calidad del agua en la Amazonía peruana, determinando la eficacia del marco jurídico ambiental para prevenir, controlar y sancionar las actividades extractivas ilegales que afectan los recursos hídricos. La investigación adopta un enfoque cualitativo, orientado a comprender la eficacia práctica del marco jurídico ambiental frente a la minería ilegal desde una perspectiva interpretativa y jurídica. La investigación determina que la minería ilegal constituye una de las principales causas de contaminación de las fuentes hídricas en la Amazonía peruana, principalmente por el uso de mercurio. Asimismo, concluye que el marco legal peruano resulta insuficientemente eficaz debido a las deficiencias en su aplicación, fiscalización y coordinación institucional, lo que limita la protección efectiva del derecho al agua. La autora concluye que el problema no radica en la ausencia de normas jurídicas, sino en la limitada eficacia de su implementación.</w:t>
      </w:r>
    </w:p>
    <w:p w14:paraId="47968B9D" w14:textId="4F45AF61" w:rsidR="00F9625C" w:rsidRPr="00F9625C" w:rsidRDefault="00F9625C" w:rsidP="00F9625C">
      <w:pPr>
        <w:spacing w:after="80"/>
        <w:rPr>
          <w:rFonts w:cs="Arial"/>
          <w:sz w:val="22"/>
          <w:szCs w:val="22"/>
        </w:rPr>
      </w:pPr>
      <w:r w:rsidRPr="00F9625C">
        <w:rPr>
          <w:rFonts w:cs="Arial"/>
          <w:sz w:val="22"/>
          <w:szCs w:val="22"/>
        </w:rPr>
        <w:t xml:space="preserve">23. </w:t>
      </w:r>
      <w:r>
        <w:rPr>
          <w:rFonts w:cs="Arial"/>
          <w:sz w:val="22"/>
          <w:szCs w:val="22"/>
        </w:rPr>
        <w:tab/>
      </w:r>
      <w:r w:rsidRPr="00F9625C">
        <w:rPr>
          <w:rFonts w:cs="Arial"/>
          <w:sz w:val="22"/>
          <w:szCs w:val="22"/>
        </w:rPr>
        <w:t>Cáceres Gregorio (2025). Registro nacional. Analizar la relación entre la institución jurídica del riesgo permitido y la configuración del delito de minería ilegal en el ordenamiento jurídico peruano, determinando los criterios que permiten diferenciar una actividad minera lícita de una conducta penalmente relevante. La investigación desarrolla un enfoque cualitativo, basado en el análisis dogmático-jurídico de la normativa penal, doctrina especializada y jurisprudencia relacionada con el delito de minería ilegal y el riesgo permitido. La investigación determina que la actividad minera, por su propia naturaleza, implica un riesgo permitido jurídicamente aceptado; sin embargo, dicho riesgo deja de ser legítimo cuando la actividad extractiva se desarrolla incumpliendo las exigencias legales y ambientales establecidas por el ordenamiento jurídico peruano. En ese escenario, la conducta adquiere relevancia penal y puede configurar el delito de minería ilegal. El autor concluye que la diferenciación entre minería legal e ilegal no debe sustentarse únicamente en la existencia de autorizaciones administrativas, sino también en el análisis del nivel de riesgo creado y del daño potencial o efectivo al medio ambiente.</w:t>
      </w:r>
    </w:p>
    <w:p w14:paraId="7576ED95" w14:textId="3F65E8E4" w:rsidR="00F9625C" w:rsidRPr="00F9625C" w:rsidRDefault="00F9625C" w:rsidP="00F9625C">
      <w:pPr>
        <w:spacing w:after="80"/>
        <w:rPr>
          <w:rFonts w:cs="Arial"/>
          <w:sz w:val="22"/>
          <w:szCs w:val="22"/>
        </w:rPr>
      </w:pPr>
      <w:r w:rsidRPr="00F9625C">
        <w:rPr>
          <w:rFonts w:cs="Arial"/>
          <w:sz w:val="22"/>
          <w:szCs w:val="22"/>
        </w:rPr>
        <w:t xml:space="preserve">24. </w:t>
      </w:r>
      <w:r>
        <w:rPr>
          <w:rFonts w:cs="Arial"/>
          <w:sz w:val="22"/>
          <w:szCs w:val="22"/>
        </w:rPr>
        <w:tab/>
      </w:r>
      <w:r w:rsidRPr="00F9625C">
        <w:rPr>
          <w:rFonts w:cs="Arial"/>
          <w:sz w:val="22"/>
          <w:szCs w:val="22"/>
        </w:rPr>
        <w:t xml:space="preserve">La Rosa Espinoza (2025). Registro nacional. El objetivo central de la investigación consiste en analizar las debilidades normativas existentes en el artículo 307-A del Código Penal peruano respecto de la persecución del delito de minería ilegal, identificando las limitaciones que dificultan la eficacia de la respuesta penal del Estado frente a esta actividad ilícita. La investigación adopta un enfoque cualitativo, propio de los estudios jurídicos. La investigación demuestra que el principal problema para la </w:t>
      </w:r>
      <w:r w:rsidRPr="00F9625C">
        <w:rPr>
          <w:rFonts w:cs="Arial"/>
          <w:sz w:val="22"/>
          <w:szCs w:val="22"/>
        </w:rPr>
        <w:lastRenderedPageBreak/>
        <w:t>persecución penal de la minería ilegal en el Perú no radica únicamente en la existencia del delito, sino en las debilidades normativas contenidas en el artículo 307-A del Código Penal, las cuales dificultan su aplicación práctica y reducen la eficacia de la respuesta estatal. Entre los principales resultados identificados destacan los siguientes: El tipo penal presenta vacíos e imprecisiones que dificultan su interpretación uniforme por parte de los operadores de justicia. El autor concluye que el artículo 307-A del Código Penal presenta debilidades normativas que limitan la eficacia de la persecución penal de la minería ilegal.</w:t>
      </w:r>
    </w:p>
    <w:p w14:paraId="6E856E61" w14:textId="43A445B3" w:rsidR="00F9625C" w:rsidRPr="00F9625C" w:rsidRDefault="00F9625C" w:rsidP="00F9625C">
      <w:pPr>
        <w:spacing w:after="80"/>
        <w:rPr>
          <w:rFonts w:cs="Arial"/>
          <w:sz w:val="22"/>
          <w:szCs w:val="22"/>
        </w:rPr>
      </w:pPr>
      <w:r w:rsidRPr="00F9625C">
        <w:rPr>
          <w:rFonts w:cs="Arial"/>
          <w:sz w:val="22"/>
          <w:szCs w:val="22"/>
        </w:rPr>
        <w:t xml:space="preserve">25. </w:t>
      </w:r>
      <w:r>
        <w:rPr>
          <w:rFonts w:cs="Arial"/>
          <w:sz w:val="22"/>
          <w:szCs w:val="22"/>
        </w:rPr>
        <w:tab/>
      </w:r>
      <w:r w:rsidRPr="00F9625C">
        <w:rPr>
          <w:rFonts w:cs="Arial"/>
          <w:sz w:val="22"/>
          <w:szCs w:val="22"/>
        </w:rPr>
        <w:t>Velásquez Zapata (2020). Registro nacional. El objetivo principal consiste en analizar los principales problemas medioambientales ocasionados por la minería aurífera ilegal en el departamento de Madre de Dios, describiendo sus impactos sobre los ecosistemas amazónicos, la sociedad y el marco normativo peruano, así como examinar las acciones estatales dirigidas a la formalización de esta actividad extractiva. El artículo desarrolla un enfoque cualitativo, basado en el análisis documental y descriptivo de literatura científica, legislación nacional, informes técnicos y documentos oficiales del Estado peruano. Los principales resultados evidencian que la minería aurífera ilegal constituye uno de los mayores factores de degradación ambiental en la Amazonía peruana, especialmente en Madre de Dios. Entre los impactos identificados destacan la deforestación acelerada, la destrucción de bosques tropicales, la alteración de los cauces de los ríos, la contaminación de cuerpos de agua mediante mercurio y otros metales pesados, la pérdida de biodiversidad, la destrucción de la vegetación ribereña y la degradación irreversible del paisaje amazónico. La autora concluye que, pese a los esfuerzos normativos implementados por el Estado peruano desde el año 2011, la minería aurífera ilegal continúa expandiéndose en Madre de Dios.</w:t>
      </w:r>
    </w:p>
    <w:p w14:paraId="0FE865D2" w14:textId="1012B9D3" w:rsidR="00F9625C" w:rsidRPr="00F9625C" w:rsidRDefault="00F9625C" w:rsidP="00F9625C">
      <w:pPr>
        <w:spacing w:after="80"/>
        <w:rPr>
          <w:rFonts w:cs="Arial"/>
          <w:sz w:val="22"/>
          <w:szCs w:val="22"/>
        </w:rPr>
      </w:pPr>
      <w:r w:rsidRPr="00F9625C">
        <w:rPr>
          <w:rFonts w:cs="Arial"/>
          <w:sz w:val="22"/>
          <w:szCs w:val="22"/>
        </w:rPr>
        <w:t xml:space="preserve">26. </w:t>
      </w:r>
      <w:r>
        <w:rPr>
          <w:rFonts w:cs="Arial"/>
          <w:sz w:val="22"/>
          <w:szCs w:val="22"/>
        </w:rPr>
        <w:tab/>
      </w:r>
      <w:r w:rsidRPr="00F9625C">
        <w:rPr>
          <w:rFonts w:cs="Arial"/>
          <w:sz w:val="22"/>
          <w:szCs w:val="22"/>
        </w:rPr>
        <w:t xml:space="preserve">Abanto et al. (2025). Registro nacional. El objetivo principal consiste en analizar la complejidad de la minería de pequeña escala en el Perú, diferenciando las diversas modalidades de minería informal, ilegal y criminal, evaluando las deficiencias del proceso de formalización minera implementado por el Estado y proponiendo una nueva clasificación que permita diseñar políticas públicas más eficaces para enfrentar la problemática ambiental, social, institucional y democrática derivada de esta actividad. El documento desarrolla un enfoque cualitativo, sustentado en el análisis documental, jurídico e institucional. El estudio demuestra que la minería de pequeña escala en el Perú constituye una realidad altamente heterogénea que no puede abordarse mediante una clasificación binaria entre minería formal e ilegal. Los autores evidencian que la política pública peruana ha fracasado al tratar de manera uniforme a actores con </w:t>
      </w:r>
      <w:r w:rsidRPr="00F9625C">
        <w:rPr>
          <w:rFonts w:cs="Arial"/>
          <w:sz w:val="22"/>
          <w:szCs w:val="22"/>
        </w:rPr>
        <w:lastRenderedPageBreak/>
        <w:t>características completamente distintas, generando un proceso de formalización ineficiente que ha permitido la continuidad de actividades extractivas fuera del control estatal. Los autores concluyen que la clasificación actualmente utilizada por el Estado peruano resulta insuficiente para enfrentar la complejidad de la minería de pequeña escala.</w:t>
      </w:r>
    </w:p>
    <w:p w14:paraId="6196D006" w14:textId="396F864E" w:rsidR="00F9625C" w:rsidRPr="00F9625C" w:rsidRDefault="00F9625C" w:rsidP="00F9625C">
      <w:pPr>
        <w:spacing w:after="80"/>
        <w:rPr>
          <w:rFonts w:cs="Arial"/>
          <w:sz w:val="22"/>
          <w:szCs w:val="22"/>
        </w:rPr>
      </w:pPr>
      <w:r w:rsidRPr="00F9625C">
        <w:rPr>
          <w:rFonts w:cs="Arial"/>
          <w:sz w:val="22"/>
          <w:szCs w:val="22"/>
        </w:rPr>
        <w:t xml:space="preserve">27. </w:t>
      </w:r>
      <w:r>
        <w:rPr>
          <w:rFonts w:cs="Arial"/>
          <w:sz w:val="22"/>
          <w:szCs w:val="22"/>
        </w:rPr>
        <w:tab/>
      </w:r>
      <w:r w:rsidRPr="00F9625C">
        <w:rPr>
          <w:rFonts w:cs="Arial"/>
          <w:sz w:val="22"/>
          <w:szCs w:val="22"/>
        </w:rPr>
        <w:t>Manrique Herrera y Cuadros Rodríguez (2023). Registro nacional. Analizar integralmente la actividad minera en el Perú, destacando su importancia como motor del crecimiento económico nacional y, simultáneamente, examinando los impactos ambientales, sociales y jurídicos derivados tanto de la minería formal como de la minería ilegal, así como las posibilidades de alcanzar una minería sostenible. Enfoque cualitativo, sustentado en el análisis jurídico, doctrinal, documental y comparado de la legislación, doctrina e información especializada relacionada con la actividad minera y la minería ilegal. La minería constituye uno de los principales motores del crecimiento económico del Perú, debido a su contribución al Producto Bruto Interno (PBI), la generación de divisas, empleo e inversión nacional y extranjera. La minería ilegal representa una de las principales amenazas para el desarrollo sostenible, al generar graves impactos ambientales, sociales y económicos, además de favorecer la expansión de actividades delictivas como la trata de personas, el tráfico ilícito de armas y el lavado de activos. La minería ilegal constituye una actividad criminal en permanente expansión, cuya erradicación exige una intervención más eficaz del Estado debido a su vinculación con delitos como la trata de personas, el tráfico ilícito de armas y el lavado de activos.</w:t>
      </w:r>
    </w:p>
    <w:p w14:paraId="71B772DC" w14:textId="06803016" w:rsidR="00F9625C" w:rsidRPr="00F9625C" w:rsidRDefault="00F9625C" w:rsidP="00F9625C">
      <w:pPr>
        <w:spacing w:after="80"/>
        <w:rPr>
          <w:rFonts w:cs="Arial"/>
          <w:sz w:val="22"/>
          <w:szCs w:val="22"/>
        </w:rPr>
      </w:pPr>
      <w:r w:rsidRPr="00F9625C">
        <w:rPr>
          <w:rFonts w:cs="Arial"/>
          <w:sz w:val="22"/>
          <w:szCs w:val="22"/>
        </w:rPr>
        <w:t xml:space="preserve">28. </w:t>
      </w:r>
      <w:r>
        <w:rPr>
          <w:rFonts w:cs="Arial"/>
          <w:sz w:val="22"/>
          <w:szCs w:val="22"/>
        </w:rPr>
        <w:tab/>
      </w:r>
      <w:r w:rsidRPr="00F9625C">
        <w:rPr>
          <w:rFonts w:cs="Arial"/>
          <w:sz w:val="22"/>
          <w:szCs w:val="22"/>
        </w:rPr>
        <w:t xml:space="preserve">Dueñas Quiñones (2020). Registro nacional. Analizar la teoría de los Derechos de la Naturaleza aplicada a los cuerpos hídricos para determinar la viabilidad de reconocerlos como sujetos de derecho dentro del ordenamiento jurídico peruano, mediante un análisis doctrinal, jurisprudencial y comparado de experiencias internacionales. El estudio adopta un enfoque cualitativo, sustentado en el análisis jurídico-doctrinal, el derecho comparado y el análisis jurisprudencial. El reconocimiento de los cuerpos hídricos como sujetos de derecho representa un cambio del paradigma antropocéntrico al </w:t>
      </w:r>
      <w:proofErr w:type="spellStart"/>
      <w:r w:rsidRPr="00F9625C">
        <w:rPr>
          <w:rFonts w:cs="Arial"/>
          <w:sz w:val="22"/>
          <w:szCs w:val="22"/>
        </w:rPr>
        <w:t>ecocéntrico</w:t>
      </w:r>
      <w:proofErr w:type="spellEnd"/>
      <w:r w:rsidRPr="00F9625C">
        <w:rPr>
          <w:rFonts w:cs="Arial"/>
          <w:sz w:val="22"/>
          <w:szCs w:val="22"/>
        </w:rPr>
        <w:t xml:space="preserve">, al reconocer que los ecosistemas poseen valor intrínseco y pueden ser titulares de derechos propios, independientemente de su utilidad para el ser humano. El modelo del río </w:t>
      </w:r>
      <w:proofErr w:type="spellStart"/>
      <w:r w:rsidRPr="00F9625C">
        <w:rPr>
          <w:rFonts w:cs="Arial"/>
          <w:sz w:val="22"/>
          <w:szCs w:val="22"/>
        </w:rPr>
        <w:t>Whanganui</w:t>
      </w:r>
      <w:proofErr w:type="spellEnd"/>
      <w:r w:rsidRPr="00F9625C">
        <w:rPr>
          <w:rFonts w:cs="Arial"/>
          <w:sz w:val="22"/>
          <w:szCs w:val="22"/>
        </w:rPr>
        <w:t xml:space="preserve"> (Nueva Zelanda) constituye el caso más desarrollado de reconocimiento jurídico de un cuerpo hídrico, debido a que le otorga personalidad jurídica mediante </w:t>
      </w:r>
      <w:proofErr w:type="spellStart"/>
      <w:r w:rsidRPr="00F9625C">
        <w:rPr>
          <w:rFonts w:cs="Arial"/>
          <w:sz w:val="22"/>
          <w:szCs w:val="22"/>
        </w:rPr>
        <w:t>el</w:t>
      </w:r>
      <w:proofErr w:type="spellEnd"/>
      <w:r w:rsidRPr="00F9625C">
        <w:rPr>
          <w:rFonts w:cs="Arial"/>
          <w:sz w:val="22"/>
          <w:szCs w:val="22"/>
        </w:rPr>
        <w:t xml:space="preserve"> Te </w:t>
      </w:r>
      <w:proofErr w:type="spellStart"/>
      <w:r w:rsidRPr="00F9625C">
        <w:rPr>
          <w:rFonts w:cs="Arial"/>
          <w:sz w:val="22"/>
          <w:szCs w:val="22"/>
        </w:rPr>
        <w:t>Awa</w:t>
      </w:r>
      <w:proofErr w:type="spellEnd"/>
      <w:r w:rsidRPr="00F9625C">
        <w:rPr>
          <w:rFonts w:cs="Arial"/>
          <w:sz w:val="22"/>
          <w:szCs w:val="22"/>
        </w:rPr>
        <w:t xml:space="preserve"> </w:t>
      </w:r>
      <w:proofErr w:type="spellStart"/>
      <w:r w:rsidRPr="00F9625C">
        <w:rPr>
          <w:rFonts w:cs="Arial"/>
          <w:sz w:val="22"/>
          <w:szCs w:val="22"/>
        </w:rPr>
        <w:t>Tupua</w:t>
      </w:r>
      <w:proofErr w:type="spellEnd"/>
      <w:r w:rsidRPr="00F9625C">
        <w:rPr>
          <w:rFonts w:cs="Arial"/>
          <w:sz w:val="22"/>
          <w:szCs w:val="22"/>
        </w:rPr>
        <w:t xml:space="preserve"> </w:t>
      </w:r>
      <w:proofErr w:type="spellStart"/>
      <w:r w:rsidRPr="00F9625C">
        <w:rPr>
          <w:rFonts w:cs="Arial"/>
          <w:sz w:val="22"/>
          <w:szCs w:val="22"/>
        </w:rPr>
        <w:t>Act</w:t>
      </w:r>
      <w:proofErr w:type="spellEnd"/>
      <w:r w:rsidRPr="00F9625C">
        <w:rPr>
          <w:rFonts w:cs="Arial"/>
          <w:sz w:val="22"/>
          <w:szCs w:val="22"/>
        </w:rPr>
        <w:t xml:space="preserve"> (2017), crea la figura del Te Pou Tupua como representante legal del río y establece un sistema permanente de </w:t>
      </w:r>
      <w:r w:rsidRPr="00F9625C">
        <w:rPr>
          <w:rFonts w:cs="Arial"/>
          <w:sz w:val="22"/>
          <w:szCs w:val="22"/>
        </w:rPr>
        <w:lastRenderedPageBreak/>
        <w:t>gobernanza colaborativa entre el Estado y el pueblo maorí. La investigación concluye que la teoría de los Derechos de la Naturaleza constituye una evolución significativa del Derecho Ambiental contemporáneo al reconocer valor intrínseco a los ecosistemas y permitir que estos sean considerados sujetos de derecho.</w:t>
      </w:r>
    </w:p>
    <w:p w14:paraId="25BE455B" w14:textId="7EC175FC" w:rsidR="00F9625C" w:rsidRPr="00F9625C" w:rsidRDefault="00F9625C" w:rsidP="00F9625C">
      <w:pPr>
        <w:spacing w:after="80"/>
        <w:rPr>
          <w:rFonts w:cs="Arial"/>
          <w:sz w:val="22"/>
          <w:szCs w:val="22"/>
        </w:rPr>
      </w:pPr>
      <w:r w:rsidRPr="00F9625C">
        <w:rPr>
          <w:rFonts w:cs="Arial"/>
          <w:sz w:val="22"/>
          <w:szCs w:val="22"/>
        </w:rPr>
        <w:t xml:space="preserve">29. </w:t>
      </w:r>
      <w:r>
        <w:rPr>
          <w:rFonts w:cs="Arial"/>
          <w:sz w:val="22"/>
          <w:szCs w:val="22"/>
        </w:rPr>
        <w:tab/>
      </w:r>
      <w:r w:rsidRPr="00F9625C">
        <w:rPr>
          <w:rFonts w:cs="Arial"/>
          <w:sz w:val="22"/>
          <w:szCs w:val="22"/>
        </w:rPr>
        <w:t>Flores Heredia (2022). Registro nacional. El propósito central del estudio consiste en analizar el conflicto socioambiental generado por la minería ilegal en las comunidades amazónicas de El Cenepa, identificando sus causas, actores e impactos ambientales y sociales, para posteriormente proponer un modelo de intervención basado en el diálogo y en la transformación del conflicto que permita alcanzar soluciones sostenibles y una convivencia armoniosa entre los actores involucrados. El estudio presenta un enfoque cualitativo, de carácter analítico, descriptivo y propositivo. Entre los principales hallazgos destacan: La minería ilegal constituye la principal fuente de contaminación ambiental en El Cenepa. Existe contaminación por mercurio y cianuro en los ríos. La autora concluye que la minería ilegal constituye una amenaza integral para los ecosistemas amazónicos y para la calidad de vida de las comunidades indígenas, debido a la contaminación de los recursos hídricos, la pérdida de biodiversidad, la deforestación y el incremento de conflictos sociales.</w:t>
      </w:r>
    </w:p>
    <w:p w14:paraId="0F776909" w14:textId="5ED83503" w:rsidR="00F9625C" w:rsidRPr="00F9625C" w:rsidRDefault="00F9625C" w:rsidP="00F9625C">
      <w:pPr>
        <w:spacing w:after="80"/>
        <w:rPr>
          <w:rFonts w:cs="Arial"/>
          <w:sz w:val="22"/>
          <w:szCs w:val="22"/>
        </w:rPr>
      </w:pPr>
      <w:r w:rsidRPr="00F9625C">
        <w:rPr>
          <w:rFonts w:cs="Arial"/>
          <w:sz w:val="22"/>
          <w:szCs w:val="22"/>
        </w:rPr>
        <w:t xml:space="preserve">30. </w:t>
      </w:r>
      <w:r>
        <w:rPr>
          <w:rFonts w:cs="Arial"/>
          <w:sz w:val="22"/>
          <w:szCs w:val="22"/>
        </w:rPr>
        <w:tab/>
      </w:r>
      <w:r w:rsidRPr="00F9625C">
        <w:rPr>
          <w:rFonts w:cs="Arial"/>
          <w:sz w:val="22"/>
          <w:szCs w:val="22"/>
        </w:rPr>
        <w:t xml:space="preserve">Granados Posso (2019). Registro nacional. El objetivo principal de la investigación consiste en analizar si el proceso de formalización minera integral implementado por el Estado peruano vulnera los derechos de los concesionarios mineros reconocidos en el ordenamiento jurídico nacional, particularmente aquellos relacionados con el derecho de propiedad minera, el derecho de exclusividad sobre la concesión y la seguridad jurídica, identificando las deficiencias normativas y administrativas del proceso de formalización y proponiendo alternativas que permitan armonizar la formalización de la minería con la protección de los derechos de los titulares de concesiones mineras. La investigación presenta un enfoque cualitativo, sustentado en el análisis jurídico-doctrinario del ordenamiento legal peruano. Los resultados evidencian que el proceso de formalización minera integral presenta importantes deficiencias normativas y administrativas que generan inseguridad jurídica para los concesionarios mineros. Se identifica que la inscripción de mineros informales en el REINFO permite el desarrollo de actividades dentro de concesiones ajenas sin garantizar plenamente los derechos exclusivos del titular de la concesión. La autora concluye que el proceso de formalización minera integral, aunque persigue un objetivo legítimo de incorporación de la minería informal a la legalidad, ha generado efectos adversos sobre los derechos de los concesionarios mineros debido a la falta de equilibrio </w:t>
      </w:r>
      <w:r w:rsidRPr="00F9625C">
        <w:rPr>
          <w:rFonts w:cs="Arial"/>
          <w:sz w:val="22"/>
          <w:szCs w:val="22"/>
        </w:rPr>
        <w:lastRenderedPageBreak/>
        <w:t>entre las políticas públicas de formalización y la protección del derecho de propiedad minera.</w:t>
      </w:r>
    </w:p>
    <w:p w14:paraId="730541DA" w14:textId="2776A6A8" w:rsidR="00F9625C" w:rsidRPr="00F9625C" w:rsidRDefault="00F9625C" w:rsidP="00F9625C">
      <w:pPr>
        <w:spacing w:after="80"/>
        <w:rPr>
          <w:rFonts w:cs="Arial"/>
          <w:sz w:val="22"/>
          <w:szCs w:val="22"/>
        </w:rPr>
      </w:pPr>
      <w:r w:rsidRPr="00F9625C">
        <w:rPr>
          <w:rFonts w:cs="Arial"/>
          <w:sz w:val="22"/>
          <w:szCs w:val="22"/>
        </w:rPr>
        <w:t xml:space="preserve">31. </w:t>
      </w:r>
      <w:r>
        <w:rPr>
          <w:rFonts w:cs="Arial"/>
          <w:sz w:val="22"/>
          <w:szCs w:val="22"/>
        </w:rPr>
        <w:tab/>
      </w:r>
      <w:r w:rsidRPr="00F9625C">
        <w:rPr>
          <w:rFonts w:cs="Arial"/>
          <w:sz w:val="22"/>
          <w:szCs w:val="22"/>
        </w:rPr>
        <w:t xml:space="preserve">Merino (2022). Registro nacional. El estudio analiza las tensiones entre organizaciones indígenas, autoridades estatales y otros actores respecto de la creación y gestión de áreas naturales protegidas en la Amazonía peruana. Utiliza un enfoque cualitativo basado en tres estudios de caso y entrevistas semiestructuradas, complementadas con análisis documental. Los resultados muestran que las políticas de conservación continúan privilegiando una concepción centralizada de la soberanía, mientras que las comunidades indígenas reivindican derechos territoriales y modelos propios de gobernanza. La minería ilegal y otras economías ilícitas aparecen como elementos que complejizan estas disputas. El autor concluye que la persistencia de los conflictos se relaciona con el insuficiente reconocimiento de la autodeterminación indígena y propone relaciones de </w:t>
      </w:r>
      <w:proofErr w:type="spellStart"/>
      <w:r w:rsidRPr="00F9625C">
        <w:rPr>
          <w:rFonts w:cs="Arial"/>
          <w:sz w:val="22"/>
          <w:szCs w:val="22"/>
        </w:rPr>
        <w:t>cogobernanza</w:t>
      </w:r>
      <w:proofErr w:type="spellEnd"/>
      <w:r w:rsidRPr="00F9625C">
        <w:rPr>
          <w:rFonts w:cs="Arial"/>
          <w:sz w:val="22"/>
          <w:szCs w:val="22"/>
        </w:rPr>
        <w:t xml:space="preserve"> más sustantivas.</w:t>
      </w:r>
    </w:p>
    <w:p w14:paraId="2BBC4241" w14:textId="0DE44A75" w:rsidR="00F9625C" w:rsidRPr="00F9625C" w:rsidRDefault="00F9625C" w:rsidP="00F9625C">
      <w:pPr>
        <w:spacing w:after="80"/>
        <w:rPr>
          <w:rFonts w:cs="Arial"/>
          <w:sz w:val="22"/>
          <w:szCs w:val="22"/>
        </w:rPr>
      </w:pPr>
      <w:r w:rsidRPr="00F9625C">
        <w:rPr>
          <w:rFonts w:cs="Arial"/>
          <w:sz w:val="22"/>
          <w:szCs w:val="22"/>
        </w:rPr>
        <w:t xml:space="preserve">32. </w:t>
      </w:r>
      <w:r>
        <w:rPr>
          <w:rFonts w:cs="Arial"/>
          <w:sz w:val="22"/>
          <w:szCs w:val="22"/>
        </w:rPr>
        <w:tab/>
      </w:r>
      <w:r w:rsidRPr="00F9625C">
        <w:rPr>
          <w:rFonts w:cs="Arial"/>
          <w:sz w:val="22"/>
          <w:szCs w:val="22"/>
        </w:rPr>
        <w:t>Vega Jara y Pinzón Monja (2023). Registro nacional. Analizar el nivel de ineficacia de las intervenciones policiales frente al delito de minería ilegal en la región Madre de Dios y diseñar un Manual de Procedimientos Policiales que fortalezca las acciones de interdicción e investigación conforme a los estándares técnicos, jurídicos y científicos exigidos para la criminalización de este delito. La investigación adopta un enfoque cualitativo con método inductivo, orientado al análisis de procedimientos institucionales, normativa aplicable y experiencias de operadores especializados. El estudio evidencia que existe una marcada ineficacia en la intervención policial frente a la minería ilegal debido al incumplimiento de protocolos operativos y criminalísticas. Aunque durante el período analizado se incrementaron significativamente las operaciones, interdicciones, detenciones e incautaciones, estos esfuerzos no se tradujeron en procesos penales sólidos ni en sentencias condenatorias debido a deficiencias en la obtención de elementos de convicción suficientes. La investigación concluye que la principal causa de la ineficacia policial radica en la inobservancia de los protocolos de intervención durante el recaudo probatorio, situación que impide construir investigaciones técnicamente sólidas capaces de sustentar la persecución penal del delito de minería ilegal.</w:t>
      </w:r>
    </w:p>
    <w:p w14:paraId="70468D67" w14:textId="0A0932AA" w:rsidR="00F9625C" w:rsidRPr="00F9625C" w:rsidRDefault="00F9625C" w:rsidP="00F9625C">
      <w:pPr>
        <w:spacing w:after="80"/>
        <w:rPr>
          <w:rFonts w:cs="Arial"/>
          <w:sz w:val="22"/>
          <w:szCs w:val="22"/>
        </w:rPr>
      </w:pPr>
      <w:r w:rsidRPr="00F9625C">
        <w:rPr>
          <w:rFonts w:cs="Arial"/>
          <w:sz w:val="22"/>
          <w:szCs w:val="22"/>
        </w:rPr>
        <w:t xml:space="preserve">33. </w:t>
      </w:r>
      <w:r>
        <w:rPr>
          <w:rFonts w:cs="Arial"/>
          <w:sz w:val="22"/>
          <w:szCs w:val="22"/>
        </w:rPr>
        <w:tab/>
      </w:r>
      <w:r w:rsidRPr="00F9625C">
        <w:rPr>
          <w:rFonts w:cs="Arial"/>
          <w:sz w:val="22"/>
          <w:szCs w:val="22"/>
        </w:rPr>
        <w:t xml:space="preserve">Díaz Rivera et al. (2025). Registro nacional. Establecer en qué medida la minería aurífera informal impacta los suelos del distrito de </w:t>
      </w:r>
      <w:proofErr w:type="spellStart"/>
      <w:r w:rsidRPr="00F9625C">
        <w:rPr>
          <w:rFonts w:cs="Arial"/>
          <w:sz w:val="22"/>
          <w:szCs w:val="22"/>
        </w:rPr>
        <w:t>Carabayllo</w:t>
      </w:r>
      <w:proofErr w:type="spellEnd"/>
      <w:r w:rsidRPr="00F9625C">
        <w:rPr>
          <w:rFonts w:cs="Arial"/>
          <w:sz w:val="22"/>
          <w:szCs w:val="22"/>
        </w:rPr>
        <w:t xml:space="preserve">, Lima-Perú. El estudio presenta un enfoque cuantitativo de carácter aplicado, sustentado en el análisis físico-químico de muestras de suelo y sedimentos mediante procedimientos de laboratorio, comparando los resultados obtenidos con los Estándares de Calidad Ambiental vigentes </w:t>
      </w:r>
      <w:r w:rsidRPr="00F9625C">
        <w:rPr>
          <w:rFonts w:cs="Arial"/>
          <w:sz w:val="22"/>
          <w:szCs w:val="22"/>
        </w:rPr>
        <w:lastRenderedPageBreak/>
        <w:t xml:space="preserve">en el Perú. Los análisis demostraron concentraciones extremadamente elevadas de arsénico (720 mg/kg), cadmio (50 mg/kg), mercurio (25,4 mg/kg) y plomo (990 mg/kg) en los sedimentos del proceso minero. Asimismo, las muestras de suelo exterior presentaron concentraciones de cadmio (10 mg/kg) y plomo (490 mg/kg) superiores a los valores permitidos por los Estándares de Calidad Ambiental para suelos agrícolas, evidenciando contaminación significativa atribuible a la actividad minera informal. La investigación concluye que la minería aurífera informal impacta negativamente los suelos de </w:t>
      </w:r>
      <w:proofErr w:type="spellStart"/>
      <w:r w:rsidRPr="00F9625C">
        <w:rPr>
          <w:rFonts w:cs="Arial"/>
          <w:sz w:val="22"/>
          <w:szCs w:val="22"/>
        </w:rPr>
        <w:t>Carabayllo</w:t>
      </w:r>
      <w:proofErr w:type="spellEnd"/>
      <w:r w:rsidRPr="00F9625C">
        <w:rPr>
          <w:rFonts w:cs="Arial"/>
          <w:sz w:val="22"/>
          <w:szCs w:val="22"/>
        </w:rPr>
        <w:t xml:space="preserve"> al superar ampliamente los Estándares de Calidad Ambiental establecidos por el MINAM.</w:t>
      </w:r>
    </w:p>
    <w:p w14:paraId="5DABA7CB" w14:textId="1DE9542A" w:rsidR="00F9625C" w:rsidRPr="00F9625C" w:rsidRDefault="00F9625C" w:rsidP="00F9625C">
      <w:pPr>
        <w:spacing w:after="80"/>
        <w:rPr>
          <w:rFonts w:cs="Arial"/>
          <w:sz w:val="22"/>
          <w:szCs w:val="22"/>
        </w:rPr>
      </w:pPr>
      <w:r w:rsidRPr="00F9625C">
        <w:rPr>
          <w:rFonts w:cs="Arial"/>
          <w:sz w:val="22"/>
          <w:szCs w:val="22"/>
        </w:rPr>
        <w:t xml:space="preserve">34. </w:t>
      </w:r>
      <w:r>
        <w:rPr>
          <w:rFonts w:cs="Arial"/>
          <w:sz w:val="22"/>
          <w:szCs w:val="22"/>
        </w:rPr>
        <w:tab/>
      </w:r>
      <w:r w:rsidRPr="00F9625C">
        <w:rPr>
          <w:rFonts w:cs="Arial"/>
          <w:sz w:val="22"/>
          <w:szCs w:val="22"/>
        </w:rPr>
        <w:t xml:space="preserve">Monteagudo y </w:t>
      </w:r>
      <w:proofErr w:type="spellStart"/>
      <w:r w:rsidRPr="00F9625C">
        <w:rPr>
          <w:rFonts w:cs="Arial"/>
          <w:sz w:val="22"/>
          <w:szCs w:val="22"/>
        </w:rPr>
        <w:t>Huyhua</w:t>
      </w:r>
      <w:proofErr w:type="spellEnd"/>
      <w:r w:rsidRPr="00F9625C">
        <w:rPr>
          <w:rFonts w:cs="Arial"/>
          <w:sz w:val="22"/>
          <w:szCs w:val="22"/>
        </w:rPr>
        <w:t xml:space="preserve"> Muñoz (2023). Registro nacional. Problematizar, desde la hermenéutica contemporánea, la relación entre la naturaleza y el reconocimiento de sus derechos, cuestionando el paradigma antropocéntrico del derecho moderno y proponiendo la transición hacia una nueva ontología de carácter relacional y no jerárquico. Investigación cualitativa. El antropocentrismo constituye el fundamento ontológico del derecho moderno y excluye a la naturaleza como sujeto de derechos. La racionalidad instrumental ha legitimado la explotación de la naturaleza mediante criterios de utilidad y dominación. Los derechos de la naturaleza no pueden consolidarse únicamente mediante reformas jurídicas; requieren una transformación ontológica.</w:t>
      </w:r>
    </w:p>
    <w:p w14:paraId="1D510EDC" w14:textId="77777777" w:rsidR="00F9625C" w:rsidRPr="00F9625C" w:rsidRDefault="00F9625C" w:rsidP="00F9625C">
      <w:pPr>
        <w:spacing w:after="80"/>
        <w:rPr>
          <w:rFonts w:cs="Arial"/>
          <w:sz w:val="22"/>
          <w:szCs w:val="22"/>
        </w:rPr>
      </w:pPr>
      <w:r w:rsidRPr="00F9625C">
        <w:rPr>
          <w:rFonts w:cs="Arial"/>
          <w:sz w:val="22"/>
          <w:szCs w:val="22"/>
        </w:rPr>
        <w:t>35. Cruzado Portugal (2022). Registro nacional. La investigación evalúa la idoneidad jurídica de reconocer derechos a la naturaleza en el ordenamiento peruano a partir de los Proyectos de Ley N.° 06957/2020-CR y N.° 08097/2020-CR. Mediante un enfoque cualitativo y doctrinal, contrasta las propuestas con el marco jurídico peruano y experiencias latinoamericanas. El estudio concluye que, en los términos planteados por los proyectos analizados, el reconocimiento no constituye por sí mismo una medida suficientemente idónea para garantizar una protección ambiental efectiva, debido a deficiencias de diseño y articulación regulatoria. Su aporte crítico consiste en advertir que la incorporación de una nueva categoría de derechos requiere precisar contenido, mecanismos de representación, efectos procesales y relación con las instituciones ambientales existentes.</w:t>
      </w:r>
    </w:p>
    <w:p w14:paraId="49B3C7EB" w14:textId="1B4E8FC6" w:rsidR="00F9625C" w:rsidRPr="00F9625C" w:rsidRDefault="00F9625C" w:rsidP="00F9625C">
      <w:pPr>
        <w:spacing w:after="80"/>
        <w:rPr>
          <w:rFonts w:cs="Arial"/>
          <w:sz w:val="22"/>
          <w:szCs w:val="22"/>
        </w:rPr>
      </w:pPr>
      <w:r w:rsidRPr="00F9625C">
        <w:rPr>
          <w:rFonts w:cs="Arial"/>
          <w:sz w:val="22"/>
          <w:szCs w:val="22"/>
        </w:rPr>
        <w:t xml:space="preserve">36. </w:t>
      </w:r>
      <w:r>
        <w:rPr>
          <w:rFonts w:cs="Arial"/>
          <w:sz w:val="22"/>
          <w:szCs w:val="22"/>
        </w:rPr>
        <w:tab/>
      </w:r>
      <w:r w:rsidRPr="00F9625C">
        <w:rPr>
          <w:rFonts w:cs="Arial"/>
          <w:sz w:val="22"/>
          <w:szCs w:val="22"/>
        </w:rPr>
        <w:t xml:space="preserve">Chávez (2020). Registro nacional. Examinar el reconocimiento constitucional de la naturaleza como sujeto de derechos en Ecuador (2008) y Bolivia (2009), interpretándolo como una ruptura civilizatoria frente al Estado liberal moderno, y reflexionar críticamente sobre su posterior retroceso político e institucional. Cualitativo, de carácter ensayístico-doctrinal, sustentado en el análisis jurídico-normativo y la revisión crítica de literatura teórica y filosófica. Identificación de dos olas históricas de </w:t>
      </w:r>
      <w:r w:rsidRPr="00F9625C">
        <w:rPr>
          <w:rFonts w:cs="Arial"/>
          <w:sz w:val="22"/>
          <w:szCs w:val="22"/>
        </w:rPr>
        <w:lastRenderedPageBreak/>
        <w:t>constitucionalización ambiental: una primera que sustituyó la noción de "naturaleza" por la de "ambiente" para gestionar recursos naturales, y una segunda —encabezada por Ecuador y Bolivia— que revive el concepto de naturaleza otorgándole personalidad jurídica propia. El reconocimiento de la naturaleza como sujeto de derechos representa una aspiración histórica capaz de reformular los parámetros morales y jurídicos de la relación Estado-sociedad-naturaleza, pero resulta insuficiente si no se acompaña de un cambio cultural profundo en la población.</w:t>
      </w:r>
    </w:p>
    <w:p w14:paraId="11094C7A" w14:textId="2FEE6178" w:rsidR="00F9625C" w:rsidRPr="00F9625C" w:rsidRDefault="00F9625C" w:rsidP="00F9625C">
      <w:pPr>
        <w:spacing w:after="80"/>
        <w:rPr>
          <w:rFonts w:cs="Arial"/>
          <w:sz w:val="22"/>
          <w:szCs w:val="22"/>
        </w:rPr>
      </w:pPr>
      <w:r w:rsidRPr="00F9625C">
        <w:rPr>
          <w:rFonts w:cs="Arial"/>
          <w:sz w:val="22"/>
          <w:szCs w:val="22"/>
        </w:rPr>
        <w:t xml:space="preserve">37. </w:t>
      </w:r>
      <w:r>
        <w:rPr>
          <w:rFonts w:cs="Arial"/>
          <w:sz w:val="22"/>
          <w:szCs w:val="22"/>
        </w:rPr>
        <w:tab/>
      </w:r>
      <w:r w:rsidRPr="00F9625C">
        <w:rPr>
          <w:rFonts w:cs="Arial"/>
          <w:sz w:val="22"/>
          <w:szCs w:val="22"/>
        </w:rPr>
        <w:t>Gustafsson y Scurrah (2019). Registro nacional. Determinar cuál es la potencialidad del ordenamiento territorial para transformar los conflictos socioambientales asociados a la expansión de las actividades mineras en el Perú. Cualitativo, basado en un estudio de caso en profundidad del Perú, con un análisis particularmente detallado del proceso de ZEE en la región de Cajamarca. Hasta el año 2012 existió un espacio en el cual los gobiernos regionales pudieron apropiarse de los instrumentos técnicos de la ZEE-OT y emplearlos de manera alternativa para incrementar su influencia sobre la explotación de los recursos del subsuelo; sin embargo, a partir de entonces el Ministerio del Ambiente (MINAM) incrementó su control administrativo, reduciendo significativamente la autonomía de los gobiernos regionales en la implementación de dichos instrumentos. El gobierno central peruano solo está dispuesto a descentralizar la responsabilidad sobre procesos administrativos que no amenazan la base de su propio poder ni los intereses de los grandes inversionistas mineros; en consecuencia, la forma sectorial y centralizada de gobernanza territorial continúa siendo predominante, a pesar de la fuerte presión social en favor de vías más democráticas de toma de decisiones.</w:t>
      </w:r>
    </w:p>
    <w:p w14:paraId="2CC7B073" w14:textId="58D91063" w:rsidR="00F9625C" w:rsidRPr="00F9625C" w:rsidRDefault="00F9625C" w:rsidP="00F9625C">
      <w:pPr>
        <w:spacing w:after="80"/>
        <w:rPr>
          <w:rFonts w:cs="Arial"/>
          <w:sz w:val="22"/>
          <w:szCs w:val="22"/>
        </w:rPr>
      </w:pPr>
      <w:r w:rsidRPr="00F9625C">
        <w:rPr>
          <w:rFonts w:cs="Arial"/>
          <w:sz w:val="22"/>
          <w:szCs w:val="22"/>
        </w:rPr>
        <w:t xml:space="preserve">38. </w:t>
      </w:r>
      <w:r>
        <w:rPr>
          <w:rFonts w:cs="Arial"/>
          <w:sz w:val="22"/>
          <w:szCs w:val="22"/>
        </w:rPr>
        <w:tab/>
      </w:r>
      <w:r w:rsidRPr="00F9625C">
        <w:rPr>
          <w:rFonts w:cs="Arial"/>
          <w:sz w:val="22"/>
          <w:szCs w:val="22"/>
        </w:rPr>
        <w:t xml:space="preserve">Hernández Bernos et al. (2025). Registro nacional. Determinar si la figura de la servidumbre minera administrativa, de acuerdo con cómo se encuentra regulada en el marco jurídico peruano actual, puede ser considerada como una expropiación minera indirecta o encubierta. Cualitativo, de carácter jurídico-dogmático, basado en el análisis normativo, doctrinal y jurisprudencial de las figuras de la servidumbre y la expropiación mineras. La servidumbre minera es una figura jurídica distinta a la expropiación, pues no implica la transferencia del derecho de propiedad; sin embargo, en la práctica, especialmente en proyectos de gran minería, puede llegar a generar afectaciones irreversibles al derecho de propiedad del titular del predio sirviente, lo que en determinados casos podría equipararla, en los hechos, a una expropiación encubierta. La servidumbre minera constituye una figura distinta a la expropiación pero con efectos limitativos significativos sobre la propiedad; la normativa vigente no ha derogado </w:t>
      </w:r>
      <w:r w:rsidRPr="00F9625C">
        <w:rPr>
          <w:rFonts w:cs="Arial"/>
          <w:sz w:val="22"/>
          <w:szCs w:val="22"/>
        </w:rPr>
        <w:lastRenderedPageBreak/>
        <w:t>expresamente el derecho a solicitar la expropiación minera aunque este resulta inaplicable; existe un debate doctrinal no resuelto respecto a si la servidumbre minera constituye una expropiación encubierta; en la práctica dicha servidumbre puede generar afectaciones irreversibles al derecho de propiedad; y el procedimiento vigente presenta deficiencias que desincentivan su aplicación, llevando a los concesionarios a optar por acuerdos privados antes que por la vía administrativa.</w:t>
      </w:r>
    </w:p>
    <w:p w14:paraId="03C8F43D" w14:textId="1A5686C6" w:rsidR="00F9625C" w:rsidRPr="00F9625C" w:rsidRDefault="00F9625C" w:rsidP="00F9625C">
      <w:pPr>
        <w:spacing w:after="80"/>
        <w:rPr>
          <w:rFonts w:cs="Arial"/>
          <w:sz w:val="22"/>
          <w:szCs w:val="22"/>
        </w:rPr>
      </w:pPr>
      <w:r w:rsidRPr="00F9625C">
        <w:rPr>
          <w:rFonts w:cs="Arial"/>
          <w:sz w:val="22"/>
          <w:szCs w:val="22"/>
        </w:rPr>
        <w:t xml:space="preserve">39. </w:t>
      </w:r>
      <w:r>
        <w:rPr>
          <w:rFonts w:cs="Arial"/>
          <w:sz w:val="22"/>
          <w:szCs w:val="22"/>
        </w:rPr>
        <w:tab/>
      </w:r>
      <w:r w:rsidRPr="00F9625C">
        <w:rPr>
          <w:rFonts w:cs="Arial"/>
          <w:sz w:val="22"/>
          <w:szCs w:val="22"/>
        </w:rPr>
        <w:t xml:space="preserve">Quispe-Borda (2023). Registro nacional. Analizar e interpretar el imaginario social de los actores locales sobre el proyecto de exploración minera en el distrito de </w:t>
      </w:r>
      <w:proofErr w:type="spellStart"/>
      <w:r w:rsidRPr="00F9625C">
        <w:rPr>
          <w:rFonts w:cs="Arial"/>
          <w:sz w:val="22"/>
          <w:szCs w:val="22"/>
        </w:rPr>
        <w:t>Nuñoa</w:t>
      </w:r>
      <w:proofErr w:type="spellEnd"/>
      <w:r w:rsidRPr="00F9625C">
        <w:rPr>
          <w:rFonts w:cs="Arial"/>
          <w:sz w:val="22"/>
          <w:szCs w:val="22"/>
        </w:rPr>
        <w:t>. Cualitativo, enmarcado en la sociología comprensiva y el enfoque histórico-hermenéutico, con una postura epistemológica fenomenológica. El imaginario social de los actores frente al proyecto de exploración minera es variado: los actores comunales e institucionales locales, en su mayoría, se muestran reticentes al proyecto y sostienen que la minería no puede convivir con la ganadería y la agricultura, mientras que los actores de instituciones regionales y nacionales consideran que la minería generaría oportunidades de mejora y desarrollo local. El imaginario social de los actores a nivel local, regional y nacional es variado, oscilando entre el rechazo y la aceptación del proyecto minero; existe una complementariedad entre la cosmovisión andina y la cosmovisión occidental en torno a la preservación del medio ambiente; y las percepciones sobre el Estado presentan dos orientaciones: los actores comunales y locales perciben su ausencia o inacción, mientras que los actores regionales y nacionales perciben que este asume un rol regulador de las actividades mineras a través de normas y leyes.</w:t>
      </w:r>
    </w:p>
    <w:p w14:paraId="4F4E6E13" w14:textId="047D277C" w:rsidR="00F9625C" w:rsidRPr="00F9625C" w:rsidRDefault="00F9625C" w:rsidP="00F9625C">
      <w:pPr>
        <w:spacing w:after="80"/>
        <w:rPr>
          <w:rFonts w:cs="Arial"/>
          <w:sz w:val="22"/>
          <w:szCs w:val="22"/>
        </w:rPr>
      </w:pPr>
      <w:r w:rsidRPr="00F9625C">
        <w:rPr>
          <w:rFonts w:cs="Arial"/>
          <w:sz w:val="22"/>
          <w:szCs w:val="22"/>
        </w:rPr>
        <w:t xml:space="preserve">40. </w:t>
      </w:r>
      <w:r>
        <w:rPr>
          <w:rFonts w:cs="Arial"/>
          <w:sz w:val="22"/>
          <w:szCs w:val="22"/>
        </w:rPr>
        <w:tab/>
      </w:r>
      <w:r w:rsidRPr="00F9625C">
        <w:rPr>
          <w:rFonts w:cs="Arial"/>
          <w:sz w:val="22"/>
          <w:szCs w:val="22"/>
        </w:rPr>
        <w:t xml:space="preserve">Encarnación Gallardo (2022). Registro nacional. Analizar la relación entre los contratos de privatización minera —particularmente aquellos que incorporan cláusulas sociales y ambientales, como los fondos sociales— y la conflictividad socioambiental en el Perú, determinando si dichas cláusulas favorecen o ponen en riesgo la viabilidad de los proyectos mineros. El estudio adopta un enfoque cualitativo de tipo analítico-descriptivo, centrado en el análisis jurídico-documental de instrumentos contractuales mineros suscritos entre el Estado peruano y empresas inversionistas entre 1990 y la actualidad. Se evidencia un tránsito del modelo concesional al modelo contractual desde la década de 1990; los contratos suscritos a partir de 2008 en adelante incorporan mayoritariamente cláusulas de fondos sociales, mientras que los de la primera etapa privatizadora carecían de ellas. Se documenta una correlación temporal entre el incremento de las exportaciones mineras y el aumento de conflictos socioambientales (2005-2016), así como un crecimiento exponencial de la normativa sectorial (de 9 </w:t>
      </w:r>
      <w:r w:rsidRPr="00F9625C">
        <w:rPr>
          <w:rFonts w:cs="Arial"/>
          <w:sz w:val="22"/>
          <w:szCs w:val="22"/>
        </w:rPr>
        <w:lastRenderedPageBreak/>
        <w:t>normas vigentes en 2001 a 201 en 2014). El paradigma contractual ha desplazado al modelo concesional como mecanismo dominante de acceso a la titularidad minera; la incorporación de cláusulas socioambientales en los contratos genera una doble regulación (contractual y normativa general) que, según el autor, no ha resuelto los conflictos sino que en ciertos casos los ha intensificado, al tiempo que reduce el margen de negociación directa entre empresa y comunidad.</w:t>
      </w:r>
    </w:p>
    <w:p w14:paraId="1F39CD7C" w14:textId="77777777" w:rsidR="00F9625C" w:rsidRDefault="00F9625C" w:rsidP="00F9625C">
      <w:pPr>
        <w:pStyle w:val="Ttulo2"/>
        <w:rPr>
          <w:rFonts w:cs="Arial"/>
          <w:sz w:val="22"/>
          <w:szCs w:val="22"/>
        </w:rPr>
      </w:pPr>
    </w:p>
    <w:p w14:paraId="018F18A6" w14:textId="50607372" w:rsidR="00F9625C" w:rsidRPr="00F9625C" w:rsidRDefault="00F9625C" w:rsidP="00F9625C">
      <w:pPr>
        <w:pStyle w:val="Ttulo2"/>
        <w:rPr>
          <w:rFonts w:cs="Arial"/>
          <w:sz w:val="22"/>
          <w:szCs w:val="22"/>
        </w:rPr>
      </w:pPr>
      <w:r w:rsidRPr="00F9625C">
        <w:rPr>
          <w:rFonts w:cs="Arial"/>
          <w:sz w:val="22"/>
          <w:szCs w:val="22"/>
        </w:rPr>
        <w:t>b) Cuadros estadísticos de las investigaciones revisadas</w:t>
      </w:r>
    </w:p>
    <w:p w14:paraId="69B14915" w14:textId="77777777" w:rsidR="00F9625C" w:rsidRPr="00F9625C" w:rsidRDefault="00F9625C" w:rsidP="00F9625C">
      <w:pPr>
        <w:spacing w:after="60"/>
        <w:rPr>
          <w:rFonts w:cs="Arial"/>
          <w:sz w:val="22"/>
          <w:szCs w:val="22"/>
        </w:rPr>
      </w:pPr>
      <w:r w:rsidRPr="00F9625C">
        <w:rPr>
          <w:rFonts w:cs="Arial"/>
          <w:b/>
          <w:sz w:val="22"/>
          <w:szCs w:val="22"/>
        </w:rPr>
        <w:t>Tabla 1. Muestra documental de estudios revisados</w:t>
      </w:r>
    </w:p>
    <w:tbl>
      <w:tblPr>
        <w:tblStyle w:val="Tablaconcuadrcula"/>
        <w:tblW w:w="0" w:type="auto"/>
        <w:jc w:val="center"/>
        <w:tblLook w:val="04A0" w:firstRow="1" w:lastRow="0" w:firstColumn="1" w:lastColumn="0" w:noHBand="0" w:noVBand="1"/>
      </w:tblPr>
      <w:tblGrid>
        <w:gridCol w:w="634"/>
        <w:gridCol w:w="3102"/>
        <w:gridCol w:w="1109"/>
        <w:gridCol w:w="3649"/>
      </w:tblGrid>
      <w:tr w:rsidR="00F9625C" w:rsidRPr="00F9625C" w14:paraId="7E50838C" w14:textId="77777777" w:rsidTr="007E2AA1">
        <w:trPr>
          <w:cantSplit/>
          <w:tblHeader/>
          <w:jc w:val="center"/>
        </w:trPr>
        <w:tc>
          <w:tcPr>
            <w:tcW w:w="680" w:type="dxa"/>
            <w:shd w:val="clear" w:color="auto" w:fill="D9D9D9"/>
            <w:vAlign w:val="center"/>
          </w:tcPr>
          <w:p w14:paraId="514D8DFC"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N.°</w:t>
            </w:r>
          </w:p>
        </w:tc>
        <w:tc>
          <w:tcPr>
            <w:tcW w:w="3685" w:type="dxa"/>
            <w:shd w:val="clear" w:color="auto" w:fill="D9D9D9"/>
            <w:vAlign w:val="center"/>
          </w:tcPr>
          <w:p w14:paraId="274CDC4F"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Descripción</w:t>
            </w:r>
          </w:p>
        </w:tc>
        <w:tc>
          <w:tcPr>
            <w:tcW w:w="1134" w:type="dxa"/>
            <w:shd w:val="clear" w:color="auto" w:fill="D9D9D9"/>
            <w:vAlign w:val="center"/>
          </w:tcPr>
          <w:p w14:paraId="4AAC7B6B"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Número</w:t>
            </w:r>
          </w:p>
        </w:tc>
        <w:tc>
          <w:tcPr>
            <w:tcW w:w="4535" w:type="dxa"/>
            <w:shd w:val="clear" w:color="auto" w:fill="D9D9D9"/>
            <w:vAlign w:val="center"/>
          </w:tcPr>
          <w:p w14:paraId="5607A4F7"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Tipo / observación</w:t>
            </w:r>
          </w:p>
        </w:tc>
      </w:tr>
      <w:tr w:rsidR="00F9625C" w:rsidRPr="00F9625C" w14:paraId="79361502" w14:textId="77777777" w:rsidTr="007E2AA1">
        <w:trPr>
          <w:cantSplit/>
          <w:jc w:val="center"/>
        </w:trPr>
        <w:tc>
          <w:tcPr>
            <w:tcW w:w="680" w:type="dxa"/>
            <w:vAlign w:val="center"/>
          </w:tcPr>
          <w:p w14:paraId="71D3A0AC" w14:textId="77777777" w:rsidR="00F9625C" w:rsidRPr="00F9625C" w:rsidRDefault="00F9625C" w:rsidP="00F9625C">
            <w:pPr>
              <w:rPr>
                <w:rFonts w:ascii="Arial" w:hAnsi="Arial" w:cs="Arial"/>
                <w:sz w:val="22"/>
                <w:szCs w:val="22"/>
              </w:rPr>
            </w:pPr>
            <w:r w:rsidRPr="00F9625C">
              <w:rPr>
                <w:rFonts w:ascii="Arial" w:hAnsi="Arial" w:cs="Arial"/>
                <w:sz w:val="22"/>
                <w:szCs w:val="22"/>
              </w:rPr>
              <w:t>1</w:t>
            </w:r>
          </w:p>
        </w:tc>
        <w:tc>
          <w:tcPr>
            <w:tcW w:w="3685" w:type="dxa"/>
            <w:vAlign w:val="center"/>
          </w:tcPr>
          <w:p w14:paraId="5EC7C86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Fichas internacionales</w:t>
            </w:r>
          </w:p>
        </w:tc>
        <w:tc>
          <w:tcPr>
            <w:tcW w:w="1134" w:type="dxa"/>
            <w:vAlign w:val="center"/>
          </w:tcPr>
          <w:p w14:paraId="316073E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20</w:t>
            </w:r>
          </w:p>
        </w:tc>
        <w:tc>
          <w:tcPr>
            <w:tcW w:w="4535" w:type="dxa"/>
            <w:vAlign w:val="center"/>
          </w:tcPr>
          <w:p w14:paraId="5C4C611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50 % de la matriz</w:t>
            </w:r>
          </w:p>
        </w:tc>
      </w:tr>
      <w:tr w:rsidR="00F9625C" w:rsidRPr="00F9625C" w14:paraId="100C5FCA" w14:textId="77777777" w:rsidTr="007E2AA1">
        <w:trPr>
          <w:cantSplit/>
          <w:jc w:val="center"/>
        </w:trPr>
        <w:tc>
          <w:tcPr>
            <w:tcW w:w="680" w:type="dxa"/>
            <w:vAlign w:val="center"/>
          </w:tcPr>
          <w:p w14:paraId="2AD0E384" w14:textId="77777777" w:rsidR="00F9625C" w:rsidRPr="00F9625C" w:rsidRDefault="00F9625C" w:rsidP="00F9625C">
            <w:pPr>
              <w:rPr>
                <w:rFonts w:ascii="Arial" w:hAnsi="Arial" w:cs="Arial"/>
                <w:sz w:val="22"/>
                <w:szCs w:val="22"/>
              </w:rPr>
            </w:pPr>
            <w:r w:rsidRPr="00F9625C">
              <w:rPr>
                <w:rFonts w:ascii="Arial" w:hAnsi="Arial" w:cs="Arial"/>
                <w:sz w:val="22"/>
                <w:szCs w:val="22"/>
              </w:rPr>
              <w:t>2</w:t>
            </w:r>
          </w:p>
        </w:tc>
        <w:tc>
          <w:tcPr>
            <w:tcW w:w="3685" w:type="dxa"/>
            <w:vAlign w:val="center"/>
          </w:tcPr>
          <w:p w14:paraId="2AB5071C"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Fichas nacionales</w:t>
            </w:r>
          </w:p>
        </w:tc>
        <w:tc>
          <w:tcPr>
            <w:tcW w:w="1134" w:type="dxa"/>
            <w:vAlign w:val="center"/>
          </w:tcPr>
          <w:p w14:paraId="7DDE93E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20</w:t>
            </w:r>
          </w:p>
        </w:tc>
        <w:tc>
          <w:tcPr>
            <w:tcW w:w="4535" w:type="dxa"/>
            <w:vAlign w:val="center"/>
          </w:tcPr>
          <w:p w14:paraId="5EDE451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50 % de la matriz</w:t>
            </w:r>
          </w:p>
        </w:tc>
      </w:tr>
      <w:tr w:rsidR="00F9625C" w:rsidRPr="00F9625C" w14:paraId="1D35CE74" w14:textId="77777777" w:rsidTr="007E2AA1">
        <w:trPr>
          <w:cantSplit/>
          <w:jc w:val="center"/>
        </w:trPr>
        <w:tc>
          <w:tcPr>
            <w:tcW w:w="680" w:type="dxa"/>
            <w:vAlign w:val="center"/>
          </w:tcPr>
          <w:p w14:paraId="45C38E37" w14:textId="77777777" w:rsidR="00F9625C" w:rsidRPr="00F9625C" w:rsidRDefault="00F9625C" w:rsidP="00F9625C">
            <w:pPr>
              <w:rPr>
                <w:rFonts w:ascii="Arial" w:hAnsi="Arial" w:cs="Arial"/>
                <w:sz w:val="22"/>
                <w:szCs w:val="22"/>
              </w:rPr>
            </w:pPr>
            <w:r w:rsidRPr="00F9625C">
              <w:rPr>
                <w:rFonts w:ascii="Arial" w:hAnsi="Arial" w:cs="Arial"/>
                <w:sz w:val="22"/>
                <w:szCs w:val="22"/>
              </w:rPr>
              <w:t>3</w:t>
            </w:r>
          </w:p>
        </w:tc>
        <w:tc>
          <w:tcPr>
            <w:tcW w:w="3685" w:type="dxa"/>
            <w:vAlign w:val="center"/>
          </w:tcPr>
          <w:p w14:paraId="7A33B8E8"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Total de fichas analizadas</w:t>
            </w:r>
          </w:p>
        </w:tc>
        <w:tc>
          <w:tcPr>
            <w:tcW w:w="1134" w:type="dxa"/>
            <w:vAlign w:val="center"/>
          </w:tcPr>
          <w:p w14:paraId="2D498FD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40</w:t>
            </w:r>
          </w:p>
        </w:tc>
        <w:tc>
          <w:tcPr>
            <w:tcW w:w="4535" w:type="dxa"/>
            <w:vAlign w:val="center"/>
          </w:tcPr>
          <w:p w14:paraId="7A1F48B9"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27 artículos; 10 tesis/trabajos académicos; 2 capítulos; 1 informe</w:t>
            </w:r>
          </w:p>
        </w:tc>
      </w:tr>
      <w:tr w:rsidR="00F9625C" w:rsidRPr="00F9625C" w14:paraId="58564E9E" w14:textId="77777777" w:rsidTr="007E2AA1">
        <w:trPr>
          <w:cantSplit/>
          <w:jc w:val="center"/>
        </w:trPr>
        <w:tc>
          <w:tcPr>
            <w:tcW w:w="680" w:type="dxa"/>
            <w:vAlign w:val="center"/>
          </w:tcPr>
          <w:p w14:paraId="343E0BB0" w14:textId="77777777" w:rsidR="00F9625C" w:rsidRPr="00F9625C" w:rsidRDefault="00F9625C" w:rsidP="00F9625C">
            <w:pPr>
              <w:rPr>
                <w:rFonts w:ascii="Arial" w:hAnsi="Arial" w:cs="Arial"/>
                <w:sz w:val="22"/>
                <w:szCs w:val="22"/>
              </w:rPr>
            </w:pPr>
            <w:r w:rsidRPr="00F9625C">
              <w:rPr>
                <w:rFonts w:ascii="Arial" w:hAnsi="Arial" w:cs="Arial"/>
                <w:sz w:val="22"/>
                <w:szCs w:val="22"/>
              </w:rPr>
              <w:t>4</w:t>
            </w:r>
          </w:p>
        </w:tc>
        <w:tc>
          <w:tcPr>
            <w:tcW w:w="3685" w:type="dxa"/>
            <w:vAlign w:val="center"/>
          </w:tcPr>
          <w:p w14:paraId="4B5326B8"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Publicaciones únicas</w:t>
            </w:r>
          </w:p>
        </w:tc>
        <w:tc>
          <w:tcPr>
            <w:tcW w:w="1134" w:type="dxa"/>
            <w:vAlign w:val="center"/>
          </w:tcPr>
          <w:p w14:paraId="50013B2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39</w:t>
            </w:r>
          </w:p>
        </w:tc>
        <w:tc>
          <w:tcPr>
            <w:tcW w:w="4535" w:type="dxa"/>
            <w:vAlign w:val="center"/>
          </w:tcPr>
          <w:p w14:paraId="5A465C78"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Una publicación internacional se encuentra duplicada en dos fichas</w:t>
            </w:r>
          </w:p>
        </w:tc>
      </w:tr>
    </w:tbl>
    <w:p w14:paraId="0212FA3D" w14:textId="77777777" w:rsidR="00F9625C" w:rsidRPr="00F9625C" w:rsidRDefault="00F9625C" w:rsidP="00F9625C">
      <w:pPr>
        <w:spacing w:after="40"/>
        <w:rPr>
          <w:rFonts w:cs="Arial"/>
          <w:sz w:val="22"/>
          <w:szCs w:val="22"/>
        </w:rPr>
      </w:pPr>
    </w:p>
    <w:p w14:paraId="2D16ACC9" w14:textId="77777777" w:rsidR="00F9625C" w:rsidRPr="00F9625C" w:rsidRDefault="00F9625C" w:rsidP="00F9625C">
      <w:pPr>
        <w:spacing w:after="60"/>
        <w:rPr>
          <w:rFonts w:cs="Arial"/>
          <w:sz w:val="22"/>
          <w:szCs w:val="22"/>
        </w:rPr>
      </w:pPr>
      <w:r w:rsidRPr="00F9625C">
        <w:rPr>
          <w:rFonts w:cs="Arial"/>
          <w:b/>
          <w:sz w:val="22"/>
          <w:szCs w:val="22"/>
        </w:rPr>
        <w:t>Gráfico 1. Muestra documental</w:t>
      </w:r>
    </w:p>
    <w:p w14:paraId="59EF5E75" w14:textId="77777777" w:rsidR="00F9625C" w:rsidRPr="00F9625C" w:rsidRDefault="00F9625C" w:rsidP="00F9625C">
      <w:pPr>
        <w:jc w:val="center"/>
        <w:rPr>
          <w:rFonts w:cs="Arial"/>
          <w:sz w:val="22"/>
          <w:szCs w:val="22"/>
        </w:rPr>
      </w:pPr>
      <w:r w:rsidRPr="00F9625C">
        <w:rPr>
          <w:rFonts w:cs="Arial"/>
          <w:noProof/>
          <w:sz w:val="22"/>
          <w:szCs w:val="22"/>
          <w:lang w:eastAsia="es-PE"/>
        </w:rPr>
        <w:drawing>
          <wp:inline distT="0" distB="0" distL="0" distR="0" wp14:anchorId="15B754CD" wp14:editId="353CEE3A">
            <wp:extent cx="5580000" cy="31497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1_muestra.png"/>
                    <pic:cNvPicPr/>
                  </pic:nvPicPr>
                  <pic:blipFill>
                    <a:blip r:embed="rId9"/>
                    <a:stretch>
                      <a:fillRect/>
                    </a:stretch>
                  </pic:blipFill>
                  <pic:spPr>
                    <a:xfrm>
                      <a:off x="0" y="0"/>
                      <a:ext cx="5580000" cy="3149752"/>
                    </a:xfrm>
                    <a:prstGeom prst="rect">
                      <a:avLst/>
                    </a:prstGeom>
                  </pic:spPr>
                </pic:pic>
              </a:graphicData>
            </a:graphic>
          </wp:inline>
        </w:drawing>
      </w:r>
    </w:p>
    <w:p w14:paraId="4F078B44" w14:textId="77777777" w:rsidR="00F9625C" w:rsidRPr="00F9625C" w:rsidRDefault="00F9625C" w:rsidP="00F9625C">
      <w:pPr>
        <w:rPr>
          <w:rFonts w:cs="Arial"/>
          <w:sz w:val="22"/>
          <w:szCs w:val="22"/>
        </w:rPr>
      </w:pPr>
      <w:r w:rsidRPr="00F9625C">
        <w:rPr>
          <w:rFonts w:cs="Arial"/>
          <w:sz w:val="22"/>
          <w:szCs w:val="22"/>
        </w:rPr>
        <w:br w:type="page"/>
      </w:r>
    </w:p>
    <w:p w14:paraId="6F768498" w14:textId="77777777" w:rsidR="00F9625C" w:rsidRPr="00F9625C" w:rsidRDefault="00F9625C" w:rsidP="00F9625C">
      <w:pPr>
        <w:spacing w:after="60"/>
        <w:rPr>
          <w:rFonts w:cs="Arial"/>
          <w:sz w:val="22"/>
          <w:szCs w:val="22"/>
        </w:rPr>
      </w:pPr>
      <w:r w:rsidRPr="00F9625C">
        <w:rPr>
          <w:rFonts w:cs="Arial"/>
          <w:b/>
          <w:sz w:val="22"/>
          <w:szCs w:val="22"/>
        </w:rPr>
        <w:lastRenderedPageBreak/>
        <w:t>Tabla 2. Comparación y contraste de las dimensiones comunes</w:t>
      </w:r>
    </w:p>
    <w:tbl>
      <w:tblPr>
        <w:tblStyle w:val="Tablaconcuadrcula"/>
        <w:tblW w:w="0" w:type="auto"/>
        <w:jc w:val="center"/>
        <w:tblLook w:val="04A0" w:firstRow="1" w:lastRow="0" w:firstColumn="1" w:lastColumn="0" w:noHBand="0" w:noVBand="1"/>
      </w:tblPr>
      <w:tblGrid>
        <w:gridCol w:w="3380"/>
        <w:gridCol w:w="1586"/>
        <w:gridCol w:w="1164"/>
        <w:gridCol w:w="1378"/>
        <w:gridCol w:w="986"/>
      </w:tblGrid>
      <w:tr w:rsidR="00F9625C" w:rsidRPr="00F9625C" w14:paraId="5C04DCA0" w14:textId="77777777" w:rsidTr="007E2AA1">
        <w:trPr>
          <w:cantSplit/>
          <w:tblHeader/>
          <w:jc w:val="center"/>
        </w:trPr>
        <w:tc>
          <w:tcPr>
            <w:tcW w:w="4649" w:type="dxa"/>
            <w:shd w:val="clear" w:color="auto" w:fill="D9D9D9"/>
            <w:vAlign w:val="center"/>
          </w:tcPr>
          <w:p w14:paraId="30C9B3B4"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Dimensión común</w:t>
            </w:r>
          </w:p>
        </w:tc>
        <w:tc>
          <w:tcPr>
            <w:tcW w:w="1191" w:type="dxa"/>
            <w:shd w:val="clear" w:color="auto" w:fill="D9D9D9"/>
            <w:vAlign w:val="center"/>
          </w:tcPr>
          <w:p w14:paraId="44FFDD3A"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Internacional n</w:t>
            </w:r>
          </w:p>
        </w:tc>
        <w:tc>
          <w:tcPr>
            <w:tcW w:w="1191" w:type="dxa"/>
            <w:shd w:val="clear" w:color="auto" w:fill="D9D9D9"/>
            <w:vAlign w:val="center"/>
          </w:tcPr>
          <w:p w14:paraId="26D6D5EF"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Nacional n</w:t>
            </w:r>
          </w:p>
        </w:tc>
        <w:tc>
          <w:tcPr>
            <w:tcW w:w="1247" w:type="dxa"/>
            <w:shd w:val="clear" w:color="auto" w:fill="D9D9D9"/>
            <w:vAlign w:val="center"/>
          </w:tcPr>
          <w:p w14:paraId="1AD9FFD4"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Frecuencia total</w:t>
            </w:r>
          </w:p>
        </w:tc>
        <w:tc>
          <w:tcPr>
            <w:tcW w:w="1134" w:type="dxa"/>
            <w:shd w:val="clear" w:color="auto" w:fill="D9D9D9"/>
            <w:vAlign w:val="center"/>
          </w:tcPr>
          <w:p w14:paraId="38381EDD"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 sobre 40</w:t>
            </w:r>
          </w:p>
        </w:tc>
      </w:tr>
      <w:tr w:rsidR="00F9625C" w:rsidRPr="00F9625C" w14:paraId="65C7B648" w14:textId="77777777" w:rsidTr="007E2AA1">
        <w:trPr>
          <w:cantSplit/>
          <w:jc w:val="center"/>
        </w:trPr>
        <w:tc>
          <w:tcPr>
            <w:tcW w:w="4649" w:type="dxa"/>
            <w:vAlign w:val="center"/>
          </w:tcPr>
          <w:p w14:paraId="4190C5E2" w14:textId="77777777" w:rsidR="00F9625C" w:rsidRPr="00F9625C" w:rsidRDefault="00F9625C" w:rsidP="00F9625C">
            <w:pPr>
              <w:rPr>
                <w:rFonts w:ascii="Arial" w:hAnsi="Arial" w:cs="Arial"/>
                <w:sz w:val="22"/>
                <w:szCs w:val="22"/>
              </w:rPr>
            </w:pPr>
            <w:r w:rsidRPr="00F9625C">
              <w:rPr>
                <w:rFonts w:ascii="Arial" w:hAnsi="Arial" w:cs="Arial"/>
                <w:sz w:val="22"/>
                <w:szCs w:val="22"/>
              </w:rPr>
              <w:t>Eficacia normativa, justicia y jurisprudencia</w:t>
            </w:r>
          </w:p>
        </w:tc>
        <w:tc>
          <w:tcPr>
            <w:tcW w:w="1191" w:type="dxa"/>
            <w:vAlign w:val="center"/>
          </w:tcPr>
          <w:p w14:paraId="6A044E2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18</w:t>
            </w:r>
          </w:p>
        </w:tc>
        <w:tc>
          <w:tcPr>
            <w:tcW w:w="1191" w:type="dxa"/>
            <w:vAlign w:val="center"/>
          </w:tcPr>
          <w:p w14:paraId="42384E2C"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12</w:t>
            </w:r>
          </w:p>
        </w:tc>
        <w:tc>
          <w:tcPr>
            <w:tcW w:w="1247" w:type="dxa"/>
            <w:vAlign w:val="center"/>
          </w:tcPr>
          <w:p w14:paraId="051BB37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30</w:t>
            </w:r>
          </w:p>
        </w:tc>
        <w:tc>
          <w:tcPr>
            <w:tcW w:w="1134" w:type="dxa"/>
            <w:vAlign w:val="center"/>
          </w:tcPr>
          <w:p w14:paraId="12BFDE81"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75.0 %</w:t>
            </w:r>
          </w:p>
        </w:tc>
      </w:tr>
      <w:tr w:rsidR="00F9625C" w:rsidRPr="00F9625C" w14:paraId="37C72F0F" w14:textId="77777777" w:rsidTr="007E2AA1">
        <w:trPr>
          <w:cantSplit/>
          <w:jc w:val="center"/>
        </w:trPr>
        <w:tc>
          <w:tcPr>
            <w:tcW w:w="4649" w:type="dxa"/>
            <w:vAlign w:val="center"/>
          </w:tcPr>
          <w:p w14:paraId="39A8C392" w14:textId="77777777" w:rsidR="00F9625C" w:rsidRPr="00F9625C" w:rsidRDefault="00F9625C" w:rsidP="00F9625C">
            <w:pPr>
              <w:rPr>
                <w:rFonts w:ascii="Arial" w:hAnsi="Arial" w:cs="Arial"/>
                <w:sz w:val="22"/>
                <w:szCs w:val="22"/>
              </w:rPr>
            </w:pPr>
            <w:r w:rsidRPr="00F9625C">
              <w:rPr>
                <w:rFonts w:ascii="Arial" w:hAnsi="Arial" w:cs="Arial"/>
                <w:sz w:val="22"/>
                <w:szCs w:val="22"/>
              </w:rPr>
              <w:t>Gobernanza, institucionalidad y fiscalización</w:t>
            </w:r>
          </w:p>
        </w:tc>
        <w:tc>
          <w:tcPr>
            <w:tcW w:w="1191" w:type="dxa"/>
            <w:vAlign w:val="center"/>
          </w:tcPr>
          <w:p w14:paraId="1A638298"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16</w:t>
            </w:r>
          </w:p>
        </w:tc>
        <w:tc>
          <w:tcPr>
            <w:tcW w:w="1191" w:type="dxa"/>
            <w:vAlign w:val="center"/>
          </w:tcPr>
          <w:p w14:paraId="7695D0C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14</w:t>
            </w:r>
          </w:p>
        </w:tc>
        <w:tc>
          <w:tcPr>
            <w:tcW w:w="1247" w:type="dxa"/>
            <w:vAlign w:val="center"/>
          </w:tcPr>
          <w:p w14:paraId="6C77D1D6"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30</w:t>
            </w:r>
          </w:p>
        </w:tc>
        <w:tc>
          <w:tcPr>
            <w:tcW w:w="1134" w:type="dxa"/>
            <w:vAlign w:val="center"/>
          </w:tcPr>
          <w:p w14:paraId="4BB9F3B4"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75.0 %</w:t>
            </w:r>
          </w:p>
        </w:tc>
      </w:tr>
      <w:tr w:rsidR="00F9625C" w:rsidRPr="00F9625C" w14:paraId="341642E4" w14:textId="77777777" w:rsidTr="007E2AA1">
        <w:trPr>
          <w:cantSplit/>
          <w:jc w:val="center"/>
        </w:trPr>
        <w:tc>
          <w:tcPr>
            <w:tcW w:w="4649" w:type="dxa"/>
            <w:vAlign w:val="center"/>
          </w:tcPr>
          <w:p w14:paraId="6F653726" w14:textId="77777777" w:rsidR="00F9625C" w:rsidRPr="00F9625C" w:rsidRDefault="00F9625C" w:rsidP="00F9625C">
            <w:pPr>
              <w:rPr>
                <w:rFonts w:ascii="Arial" w:hAnsi="Arial" w:cs="Arial"/>
                <w:sz w:val="22"/>
                <w:szCs w:val="22"/>
              </w:rPr>
            </w:pPr>
            <w:r w:rsidRPr="00F9625C">
              <w:rPr>
                <w:rFonts w:ascii="Arial" w:hAnsi="Arial" w:cs="Arial"/>
                <w:sz w:val="22"/>
                <w:szCs w:val="22"/>
              </w:rPr>
              <w:t>Minería ilegal, informal o criminal</w:t>
            </w:r>
          </w:p>
        </w:tc>
        <w:tc>
          <w:tcPr>
            <w:tcW w:w="1191" w:type="dxa"/>
            <w:vAlign w:val="center"/>
          </w:tcPr>
          <w:p w14:paraId="1901B1CE"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12</w:t>
            </w:r>
          </w:p>
        </w:tc>
        <w:tc>
          <w:tcPr>
            <w:tcW w:w="1191" w:type="dxa"/>
            <w:vAlign w:val="center"/>
          </w:tcPr>
          <w:p w14:paraId="710EEF3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13</w:t>
            </w:r>
          </w:p>
        </w:tc>
        <w:tc>
          <w:tcPr>
            <w:tcW w:w="1247" w:type="dxa"/>
            <w:vAlign w:val="center"/>
          </w:tcPr>
          <w:p w14:paraId="64FB3651"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25</w:t>
            </w:r>
          </w:p>
        </w:tc>
        <w:tc>
          <w:tcPr>
            <w:tcW w:w="1134" w:type="dxa"/>
            <w:vAlign w:val="center"/>
          </w:tcPr>
          <w:p w14:paraId="145FA3A9"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62.5 %</w:t>
            </w:r>
          </w:p>
        </w:tc>
      </w:tr>
      <w:tr w:rsidR="00F9625C" w:rsidRPr="00F9625C" w14:paraId="638D8D5F" w14:textId="77777777" w:rsidTr="007E2AA1">
        <w:trPr>
          <w:cantSplit/>
          <w:jc w:val="center"/>
        </w:trPr>
        <w:tc>
          <w:tcPr>
            <w:tcW w:w="4649" w:type="dxa"/>
            <w:vAlign w:val="center"/>
          </w:tcPr>
          <w:p w14:paraId="5510FD05" w14:textId="77777777" w:rsidR="00F9625C" w:rsidRPr="00F9625C" w:rsidRDefault="00F9625C" w:rsidP="00F9625C">
            <w:pPr>
              <w:rPr>
                <w:rFonts w:ascii="Arial" w:hAnsi="Arial" w:cs="Arial"/>
                <w:sz w:val="22"/>
                <w:szCs w:val="22"/>
              </w:rPr>
            </w:pPr>
            <w:r w:rsidRPr="00F9625C">
              <w:rPr>
                <w:rFonts w:ascii="Arial" w:hAnsi="Arial" w:cs="Arial"/>
                <w:sz w:val="22"/>
                <w:szCs w:val="22"/>
              </w:rPr>
              <w:t>Participación, consulta y justicia ambiental</w:t>
            </w:r>
          </w:p>
        </w:tc>
        <w:tc>
          <w:tcPr>
            <w:tcW w:w="1191" w:type="dxa"/>
            <w:vAlign w:val="center"/>
          </w:tcPr>
          <w:p w14:paraId="07C77AA4"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15</w:t>
            </w:r>
          </w:p>
        </w:tc>
        <w:tc>
          <w:tcPr>
            <w:tcW w:w="1191" w:type="dxa"/>
            <w:vAlign w:val="center"/>
          </w:tcPr>
          <w:p w14:paraId="0AB8A68B"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6</w:t>
            </w:r>
          </w:p>
        </w:tc>
        <w:tc>
          <w:tcPr>
            <w:tcW w:w="1247" w:type="dxa"/>
            <w:vAlign w:val="center"/>
          </w:tcPr>
          <w:p w14:paraId="68D9E87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21</w:t>
            </w:r>
          </w:p>
        </w:tc>
        <w:tc>
          <w:tcPr>
            <w:tcW w:w="1134" w:type="dxa"/>
            <w:vAlign w:val="center"/>
          </w:tcPr>
          <w:p w14:paraId="0AB8833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52.5 %</w:t>
            </w:r>
          </w:p>
        </w:tc>
      </w:tr>
      <w:tr w:rsidR="00F9625C" w:rsidRPr="00F9625C" w14:paraId="37C72616" w14:textId="77777777" w:rsidTr="007E2AA1">
        <w:trPr>
          <w:cantSplit/>
          <w:jc w:val="center"/>
        </w:trPr>
        <w:tc>
          <w:tcPr>
            <w:tcW w:w="4649" w:type="dxa"/>
            <w:vAlign w:val="center"/>
          </w:tcPr>
          <w:p w14:paraId="4875538C" w14:textId="77777777" w:rsidR="00F9625C" w:rsidRPr="00F9625C" w:rsidRDefault="00F9625C" w:rsidP="00F9625C">
            <w:pPr>
              <w:rPr>
                <w:rFonts w:ascii="Arial" w:hAnsi="Arial" w:cs="Arial"/>
                <w:sz w:val="22"/>
                <w:szCs w:val="22"/>
              </w:rPr>
            </w:pPr>
            <w:r w:rsidRPr="00F9625C">
              <w:rPr>
                <w:rFonts w:ascii="Arial" w:hAnsi="Arial" w:cs="Arial"/>
                <w:sz w:val="22"/>
                <w:szCs w:val="22"/>
              </w:rPr>
              <w:t>Agua, mercurio y recursos hídricos</w:t>
            </w:r>
          </w:p>
        </w:tc>
        <w:tc>
          <w:tcPr>
            <w:tcW w:w="1191" w:type="dxa"/>
            <w:vAlign w:val="center"/>
          </w:tcPr>
          <w:p w14:paraId="5812FA2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11</w:t>
            </w:r>
          </w:p>
        </w:tc>
        <w:tc>
          <w:tcPr>
            <w:tcW w:w="1191" w:type="dxa"/>
            <w:vAlign w:val="center"/>
          </w:tcPr>
          <w:p w14:paraId="6B12766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8</w:t>
            </w:r>
          </w:p>
        </w:tc>
        <w:tc>
          <w:tcPr>
            <w:tcW w:w="1247" w:type="dxa"/>
            <w:vAlign w:val="center"/>
          </w:tcPr>
          <w:p w14:paraId="3E55A3B7"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19</w:t>
            </w:r>
          </w:p>
        </w:tc>
        <w:tc>
          <w:tcPr>
            <w:tcW w:w="1134" w:type="dxa"/>
            <w:vAlign w:val="center"/>
          </w:tcPr>
          <w:p w14:paraId="767669D6"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47.5 %</w:t>
            </w:r>
          </w:p>
        </w:tc>
      </w:tr>
      <w:tr w:rsidR="00F9625C" w:rsidRPr="00F9625C" w14:paraId="4A87857E" w14:textId="77777777" w:rsidTr="007E2AA1">
        <w:trPr>
          <w:cantSplit/>
          <w:jc w:val="center"/>
        </w:trPr>
        <w:tc>
          <w:tcPr>
            <w:tcW w:w="4649" w:type="dxa"/>
            <w:vAlign w:val="center"/>
          </w:tcPr>
          <w:p w14:paraId="6E0CF0D5" w14:textId="77777777" w:rsidR="00F9625C" w:rsidRPr="00F9625C" w:rsidRDefault="00F9625C" w:rsidP="00F9625C">
            <w:pPr>
              <w:rPr>
                <w:rFonts w:ascii="Arial" w:hAnsi="Arial" w:cs="Arial"/>
                <w:sz w:val="22"/>
                <w:szCs w:val="22"/>
              </w:rPr>
            </w:pPr>
            <w:r w:rsidRPr="00F9625C">
              <w:rPr>
                <w:rFonts w:ascii="Arial" w:hAnsi="Arial" w:cs="Arial"/>
                <w:sz w:val="22"/>
                <w:szCs w:val="22"/>
              </w:rPr>
              <w:t>Degradación y contaminación ambiental</w:t>
            </w:r>
          </w:p>
        </w:tc>
        <w:tc>
          <w:tcPr>
            <w:tcW w:w="1191" w:type="dxa"/>
            <w:vAlign w:val="center"/>
          </w:tcPr>
          <w:p w14:paraId="0180093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11</w:t>
            </w:r>
          </w:p>
        </w:tc>
        <w:tc>
          <w:tcPr>
            <w:tcW w:w="1191" w:type="dxa"/>
            <w:vAlign w:val="center"/>
          </w:tcPr>
          <w:p w14:paraId="27EEB4A3"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7</w:t>
            </w:r>
          </w:p>
        </w:tc>
        <w:tc>
          <w:tcPr>
            <w:tcW w:w="1247" w:type="dxa"/>
            <w:vAlign w:val="center"/>
          </w:tcPr>
          <w:p w14:paraId="0B949E65"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18</w:t>
            </w:r>
          </w:p>
        </w:tc>
        <w:tc>
          <w:tcPr>
            <w:tcW w:w="1134" w:type="dxa"/>
            <w:vAlign w:val="center"/>
          </w:tcPr>
          <w:p w14:paraId="5F8D4B1D"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45.0 %</w:t>
            </w:r>
          </w:p>
        </w:tc>
      </w:tr>
      <w:tr w:rsidR="00F9625C" w:rsidRPr="00F9625C" w14:paraId="35A8566C" w14:textId="77777777" w:rsidTr="007E2AA1">
        <w:trPr>
          <w:cantSplit/>
          <w:jc w:val="center"/>
        </w:trPr>
        <w:tc>
          <w:tcPr>
            <w:tcW w:w="4649" w:type="dxa"/>
            <w:vAlign w:val="center"/>
          </w:tcPr>
          <w:p w14:paraId="4C190EC9" w14:textId="77777777" w:rsidR="00F9625C" w:rsidRPr="00F9625C" w:rsidRDefault="00F9625C" w:rsidP="00F9625C">
            <w:pPr>
              <w:rPr>
                <w:rFonts w:ascii="Arial" w:hAnsi="Arial" w:cs="Arial"/>
                <w:sz w:val="22"/>
                <w:szCs w:val="22"/>
              </w:rPr>
            </w:pPr>
            <w:r w:rsidRPr="00F9625C">
              <w:rPr>
                <w:rFonts w:ascii="Arial" w:hAnsi="Arial" w:cs="Arial"/>
                <w:sz w:val="22"/>
                <w:szCs w:val="22"/>
              </w:rPr>
              <w:t>Impactos sociales, salud y medios de vida</w:t>
            </w:r>
          </w:p>
        </w:tc>
        <w:tc>
          <w:tcPr>
            <w:tcW w:w="1191" w:type="dxa"/>
            <w:vAlign w:val="center"/>
          </w:tcPr>
          <w:p w14:paraId="785910F4"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9</w:t>
            </w:r>
          </w:p>
        </w:tc>
        <w:tc>
          <w:tcPr>
            <w:tcW w:w="1191" w:type="dxa"/>
            <w:vAlign w:val="center"/>
          </w:tcPr>
          <w:p w14:paraId="0BEC5BF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8</w:t>
            </w:r>
          </w:p>
        </w:tc>
        <w:tc>
          <w:tcPr>
            <w:tcW w:w="1247" w:type="dxa"/>
            <w:vAlign w:val="center"/>
          </w:tcPr>
          <w:p w14:paraId="059138B3"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17</w:t>
            </w:r>
          </w:p>
        </w:tc>
        <w:tc>
          <w:tcPr>
            <w:tcW w:w="1134" w:type="dxa"/>
            <w:vAlign w:val="center"/>
          </w:tcPr>
          <w:p w14:paraId="2F38EB51"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42.5 %</w:t>
            </w:r>
          </w:p>
        </w:tc>
      </w:tr>
      <w:tr w:rsidR="00F9625C" w:rsidRPr="00F9625C" w14:paraId="533CBED6" w14:textId="77777777" w:rsidTr="007E2AA1">
        <w:trPr>
          <w:cantSplit/>
          <w:jc w:val="center"/>
        </w:trPr>
        <w:tc>
          <w:tcPr>
            <w:tcW w:w="4649" w:type="dxa"/>
            <w:vAlign w:val="center"/>
          </w:tcPr>
          <w:p w14:paraId="16083877" w14:textId="77777777" w:rsidR="00F9625C" w:rsidRPr="00F9625C" w:rsidRDefault="00F9625C" w:rsidP="00F9625C">
            <w:pPr>
              <w:rPr>
                <w:rFonts w:ascii="Arial" w:hAnsi="Arial" w:cs="Arial"/>
                <w:sz w:val="22"/>
                <w:szCs w:val="22"/>
              </w:rPr>
            </w:pPr>
            <w:r w:rsidRPr="00F9625C">
              <w:rPr>
                <w:rFonts w:ascii="Arial" w:hAnsi="Arial" w:cs="Arial"/>
                <w:sz w:val="22"/>
                <w:szCs w:val="22"/>
              </w:rPr>
              <w:t>Deforestación, biodiversidad y suelos</w:t>
            </w:r>
          </w:p>
        </w:tc>
        <w:tc>
          <w:tcPr>
            <w:tcW w:w="1191" w:type="dxa"/>
            <w:vAlign w:val="center"/>
          </w:tcPr>
          <w:p w14:paraId="546AEECB"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10</w:t>
            </w:r>
          </w:p>
        </w:tc>
        <w:tc>
          <w:tcPr>
            <w:tcW w:w="1191" w:type="dxa"/>
            <w:vAlign w:val="center"/>
          </w:tcPr>
          <w:p w14:paraId="2557B91D"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6</w:t>
            </w:r>
          </w:p>
        </w:tc>
        <w:tc>
          <w:tcPr>
            <w:tcW w:w="1247" w:type="dxa"/>
            <w:vAlign w:val="center"/>
          </w:tcPr>
          <w:p w14:paraId="31655F6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16</w:t>
            </w:r>
          </w:p>
        </w:tc>
        <w:tc>
          <w:tcPr>
            <w:tcW w:w="1134" w:type="dxa"/>
            <w:vAlign w:val="center"/>
          </w:tcPr>
          <w:p w14:paraId="190AED4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40.0 %</w:t>
            </w:r>
          </w:p>
        </w:tc>
      </w:tr>
      <w:tr w:rsidR="00F9625C" w:rsidRPr="00F9625C" w14:paraId="07F2A13C" w14:textId="77777777" w:rsidTr="007E2AA1">
        <w:trPr>
          <w:cantSplit/>
          <w:jc w:val="center"/>
        </w:trPr>
        <w:tc>
          <w:tcPr>
            <w:tcW w:w="4649" w:type="dxa"/>
            <w:vAlign w:val="center"/>
          </w:tcPr>
          <w:p w14:paraId="5C720AFB" w14:textId="77777777" w:rsidR="00F9625C" w:rsidRPr="00F9625C" w:rsidRDefault="00F9625C" w:rsidP="00F9625C">
            <w:pPr>
              <w:rPr>
                <w:rFonts w:ascii="Arial" w:hAnsi="Arial" w:cs="Arial"/>
                <w:sz w:val="22"/>
                <w:szCs w:val="22"/>
              </w:rPr>
            </w:pPr>
            <w:r w:rsidRPr="00F9625C">
              <w:rPr>
                <w:rFonts w:ascii="Arial" w:hAnsi="Arial" w:cs="Arial"/>
                <w:sz w:val="22"/>
                <w:szCs w:val="22"/>
              </w:rPr>
              <w:t>Derechos de la naturaleza / ecocentrismo</w:t>
            </w:r>
          </w:p>
        </w:tc>
        <w:tc>
          <w:tcPr>
            <w:tcW w:w="1191" w:type="dxa"/>
            <w:vAlign w:val="center"/>
          </w:tcPr>
          <w:p w14:paraId="1E1C26F6"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11</w:t>
            </w:r>
          </w:p>
        </w:tc>
        <w:tc>
          <w:tcPr>
            <w:tcW w:w="1191" w:type="dxa"/>
            <w:vAlign w:val="center"/>
          </w:tcPr>
          <w:p w14:paraId="390F74CC"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5</w:t>
            </w:r>
          </w:p>
        </w:tc>
        <w:tc>
          <w:tcPr>
            <w:tcW w:w="1247" w:type="dxa"/>
            <w:vAlign w:val="center"/>
          </w:tcPr>
          <w:p w14:paraId="2100904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16</w:t>
            </w:r>
          </w:p>
        </w:tc>
        <w:tc>
          <w:tcPr>
            <w:tcW w:w="1134" w:type="dxa"/>
            <w:vAlign w:val="center"/>
          </w:tcPr>
          <w:p w14:paraId="2DAAAE6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40.0 %</w:t>
            </w:r>
          </w:p>
        </w:tc>
      </w:tr>
      <w:tr w:rsidR="00F9625C" w:rsidRPr="00F9625C" w14:paraId="4139F643" w14:textId="77777777" w:rsidTr="007E2AA1">
        <w:trPr>
          <w:cantSplit/>
          <w:jc w:val="center"/>
        </w:trPr>
        <w:tc>
          <w:tcPr>
            <w:tcW w:w="4649" w:type="dxa"/>
            <w:vAlign w:val="center"/>
          </w:tcPr>
          <w:p w14:paraId="02202429" w14:textId="77777777" w:rsidR="00F9625C" w:rsidRPr="00F9625C" w:rsidRDefault="00F9625C" w:rsidP="00F9625C">
            <w:pPr>
              <w:rPr>
                <w:rFonts w:ascii="Arial" w:hAnsi="Arial" w:cs="Arial"/>
                <w:sz w:val="22"/>
                <w:szCs w:val="22"/>
              </w:rPr>
            </w:pPr>
            <w:r w:rsidRPr="00F9625C">
              <w:rPr>
                <w:rFonts w:ascii="Arial" w:hAnsi="Arial" w:cs="Arial"/>
                <w:sz w:val="22"/>
                <w:szCs w:val="22"/>
              </w:rPr>
              <w:t>Pueblos indígenas, territorio y derechos colectivos</w:t>
            </w:r>
          </w:p>
        </w:tc>
        <w:tc>
          <w:tcPr>
            <w:tcW w:w="1191" w:type="dxa"/>
            <w:vAlign w:val="center"/>
          </w:tcPr>
          <w:p w14:paraId="2617F69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11</w:t>
            </w:r>
          </w:p>
        </w:tc>
        <w:tc>
          <w:tcPr>
            <w:tcW w:w="1191" w:type="dxa"/>
            <w:vAlign w:val="center"/>
          </w:tcPr>
          <w:p w14:paraId="005AB89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w:t>
            </w:r>
          </w:p>
        </w:tc>
        <w:tc>
          <w:tcPr>
            <w:tcW w:w="1247" w:type="dxa"/>
            <w:vAlign w:val="center"/>
          </w:tcPr>
          <w:p w14:paraId="33689E99"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14</w:t>
            </w:r>
          </w:p>
        </w:tc>
        <w:tc>
          <w:tcPr>
            <w:tcW w:w="1134" w:type="dxa"/>
            <w:vAlign w:val="center"/>
          </w:tcPr>
          <w:p w14:paraId="4F992554"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35.0 %</w:t>
            </w:r>
          </w:p>
        </w:tc>
      </w:tr>
      <w:tr w:rsidR="00F9625C" w:rsidRPr="00F9625C" w14:paraId="4D7E24F7" w14:textId="77777777" w:rsidTr="007E2AA1">
        <w:trPr>
          <w:cantSplit/>
          <w:jc w:val="center"/>
        </w:trPr>
        <w:tc>
          <w:tcPr>
            <w:tcW w:w="4649" w:type="dxa"/>
            <w:vAlign w:val="center"/>
          </w:tcPr>
          <w:p w14:paraId="67A92DA5" w14:textId="77777777" w:rsidR="00F9625C" w:rsidRPr="00F9625C" w:rsidRDefault="00F9625C" w:rsidP="00F9625C">
            <w:pPr>
              <w:rPr>
                <w:rFonts w:ascii="Arial" w:hAnsi="Arial" w:cs="Arial"/>
                <w:sz w:val="22"/>
                <w:szCs w:val="22"/>
              </w:rPr>
            </w:pPr>
            <w:r w:rsidRPr="00F9625C">
              <w:rPr>
                <w:rFonts w:ascii="Arial" w:hAnsi="Arial" w:cs="Arial"/>
                <w:sz w:val="22"/>
                <w:szCs w:val="22"/>
              </w:rPr>
              <w:t>Conflictos socioambientales y ordenamiento territorial</w:t>
            </w:r>
          </w:p>
        </w:tc>
        <w:tc>
          <w:tcPr>
            <w:tcW w:w="1191" w:type="dxa"/>
            <w:vAlign w:val="center"/>
          </w:tcPr>
          <w:p w14:paraId="604913D1"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6</w:t>
            </w:r>
          </w:p>
        </w:tc>
        <w:tc>
          <w:tcPr>
            <w:tcW w:w="1191" w:type="dxa"/>
            <w:vAlign w:val="center"/>
          </w:tcPr>
          <w:p w14:paraId="6E8A22F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7</w:t>
            </w:r>
          </w:p>
        </w:tc>
        <w:tc>
          <w:tcPr>
            <w:tcW w:w="1247" w:type="dxa"/>
            <w:vAlign w:val="center"/>
          </w:tcPr>
          <w:p w14:paraId="446B9EF1"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13</w:t>
            </w:r>
          </w:p>
        </w:tc>
        <w:tc>
          <w:tcPr>
            <w:tcW w:w="1134" w:type="dxa"/>
            <w:vAlign w:val="center"/>
          </w:tcPr>
          <w:p w14:paraId="6FBD554C"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32.5 %</w:t>
            </w:r>
          </w:p>
        </w:tc>
      </w:tr>
      <w:tr w:rsidR="00F9625C" w:rsidRPr="00F9625C" w14:paraId="1712E523" w14:textId="77777777" w:rsidTr="007E2AA1">
        <w:trPr>
          <w:cantSplit/>
          <w:jc w:val="center"/>
        </w:trPr>
        <w:tc>
          <w:tcPr>
            <w:tcW w:w="4649" w:type="dxa"/>
            <w:vAlign w:val="center"/>
          </w:tcPr>
          <w:p w14:paraId="7B5D0858" w14:textId="77777777" w:rsidR="00F9625C" w:rsidRPr="00F9625C" w:rsidRDefault="00F9625C" w:rsidP="00F9625C">
            <w:pPr>
              <w:rPr>
                <w:rFonts w:ascii="Arial" w:hAnsi="Arial" w:cs="Arial"/>
                <w:sz w:val="22"/>
                <w:szCs w:val="22"/>
              </w:rPr>
            </w:pPr>
            <w:proofErr w:type="spellStart"/>
            <w:r w:rsidRPr="00F9625C">
              <w:rPr>
                <w:rFonts w:ascii="Arial" w:hAnsi="Arial" w:cs="Arial"/>
                <w:sz w:val="22"/>
                <w:szCs w:val="22"/>
              </w:rPr>
              <w:t>Extractivismo</w:t>
            </w:r>
            <w:proofErr w:type="spellEnd"/>
            <w:r w:rsidRPr="00F9625C">
              <w:rPr>
                <w:rFonts w:ascii="Arial" w:hAnsi="Arial" w:cs="Arial"/>
                <w:sz w:val="22"/>
                <w:szCs w:val="22"/>
              </w:rPr>
              <w:t>, desarrollo y sostenibilidad</w:t>
            </w:r>
          </w:p>
        </w:tc>
        <w:tc>
          <w:tcPr>
            <w:tcW w:w="1191" w:type="dxa"/>
            <w:vAlign w:val="center"/>
          </w:tcPr>
          <w:p w14:paraId="3B161865"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7</w:t>
            </w:r>
          </w:p>
        </w:tc>
        <w:tc>
          <w:tcPr>
            <w:tcW w:w="1191" w:type="dxa"/>
            <w:vAlign w:val="center"/>
          </w:tcPr>
          <w:p w14:paraId="59B2C16B"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6</w:t>
            </w:r>
          </w:p>
        </w:tc>
        <w:tc>
          <w:tcPr>
            <w:tcW w:w="1247" w:type="dxa"/>
            <w:vAlign w:val="center"/>
          </w:tcPr>
          <w:p w14:paraId="39B300D6"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13</w:t>
            </w:r>
          </w:p>
        </w:tc>
        <w:tc>
          <w:tcPr>
            <w:tcW w:w="1134" w:type="dxa"/>
            <w:vAlign w:val="center"/>
          </w:tcPr>
          <w:p w14:paraId="2333D8D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32.5 %</w:t>
            </w:r>
          </w:p>
        </w:tc>
      </w:tr>
      <w:tr w:rsidR="00F9625C" w:rsidRPr="00F9625C" w14:paraId="1D169CDB" w14:textId="77777777" w:rsidTr="007E2AA1">
        <w:trPr>
          <w:cantSplit/>
          <w:jc w:val="center"/>
        </w:trPr>
        <w:tc>
          <w:tcPr>
            <w:tcW w:w="4649" w:type="dxa"/>
            <w:vAlign w:val="center"/>
          </w:tcPr>
          <w:p w14:paraId="4AED1D32" w14:textId="77777777" w:rsidR="00F9625C" w:rsidRPr="00F9625C" w:rsidRDefault="00F9625C" w:rsidP="00F9625C">
            <w:pPr>
              <w:rPr>
                <w:rFonts w:ascii="Arial" w:hAnsi="Arial" w:cs="Arial"/>
                <w:sz w:val="22"/>
                <w:szCs w:val="22"/>
              </w:rPr>
            </w:pPr>
            <w:r w:rsidRPr="00F9625C">
              <w:rPr>
                <w:rFonts w:ascii="Arial" w:hAnsi="Arial" w:cs="Arial"/>
                <w:sz w:val="22"/>
                <w:szCs w:val="22"/>
              </w:rPr>
              <w:t>Crimen organizado, corrupción y redes ilícitas</w:t>
            </w:r>
          </w:p>
        </w:tc>
        <w:tc>
          <w:tcPr>
            <w:tcW w:w="1191" w:type="dxa"/>
            <w:vAlign w:val="center"/>
          </w:tcPr>
          <w:p w14:paraId="0585EAD3"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5</w:t>
            </w:r>
          </w:p>
        </w:tc>
        <w:tc>
          <w:tcPr>
            <w:tcW w:w="1191" w:type="dxa"/>
            <w:vAlign w:val="center"/>
          </w:tcPr>
          <w:p w14:paraId="7D8E4417"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6</w:t>
            </w:r>
          </w:p>
        </w:tc>
        <w:tc>
          <w:tcPr>
            <w:tcW w:w="1247" w:type="dxa"/>
            <w:vAlign w:val="center"/>
          </w:tcPr>
          <w:p w14:paraId="55D72356"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11</w:t>
            </w:r>
          </w:p>
        </w:tc>
        <w:tc>
          <w:tcPr>
            <w:tcW w:w="1134" w:type="dxa"/>
            <w:vAlign w:val="center"/>
          </w:tcPr>
          <w:p w14:paraId="3973732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27.5 %</w:t>
            </w:r>
          </w:p>
        </w:tc>
      </w:tr>
      <w:tr w:rsidR="00F9625C" w:rsidRPr="00F9625C" w14:paraId="13FF130E" w14:textId="77777777" w:rsidTr="007E2AA1">
        <w:trPr>
          <w:cantSplit/>
          <w:jc w:val="center"/>
        </w:trPr>
        <w:tc>
          <w:tcPr>
            <w:tcW w:w="4649" w:type="dxa"/>
            <w:vAlign w:val="center"/>
          </w:tcPr>
          <w:p w14:paraId="078C3BAE" w14:textId="77777777" w:rsidR="00F9625C" w:rsidRPr="00F9625C" w:rsidRDefault="00F9625C" w:rsidP="00F9625C">
            <w:pPr>
              <w:rPr>
                <w:rFonts w:ascii="Arial" w:hAnsi="Arial" w:cs="Arial"/>
                <w:sz w:val="22"/>
                <w:szCs w:val="22"/>
              </w:rPr>
            </w:pPr>
            <w:r w:rsidRPr="00F9625C">
              <w:rPr>
                <w:rFonts w:ascii="Arial" w:hAnsi="Arial" w:cs="Arial"/>
                <w:sz w:val="22"/>
                <w:szCs w:val="22"/>
              </w:rPr>
              <w:t>Reparación y restauración ecológica</w:t>
            </w:r>
          </w:p>
        </w:tc>
        <w:tc>
          <w:tcPr>
            <w:tcW w:w="1191" w:type="dxa"/>
            <w:vAlign w:val="center"/>
          </w:tcPr>
          <w:p w14:paraId="29DA2594"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7</w:t>
            </w:r>
          </w:p>
        </w:tc>
        <w:tc>
          <w:tcPr>
            <w:tcW w:w="1191" w:type="dxa"/>
            <w:vAlign w:val="center"/>
          </w:tcPr>
          <w:p w14:paraId="30E06E6A"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w:t>
            </w:r>
          </w:p>
        </w:tc>
        <w:tc>
          <w:tcPr>
            <w:tcW w:w="1247" w:type="dxa"/>
            <w:vAlign w:val="center"/>
          </w:tcPr>
          <w:p w14:paraId="2CF8B59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8</w:t>
            </w:r>
          </w:p>
        </w:tc>
        <w:tc>
          <w:tcPr>
            <w:tcW w:w="1134" w:type="dxa"/>
            <w:vAlign w:val="center"/>
          </w:tcPr>
          <w:p w14:paraId="5C5A6C71"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20.0 %</w:t>
            </w:r>
          </w:p>
        </w:tc>
      </w:tr>
    </w:tbl>
    <w:p w14:paraId="3B8AB80F" w14:textId="77777777" w:rsidR="00F9625C" w:rsidRPr="00F9625C" w:rsidRDefault="00F9625C" w:rsidP="00F9625C">
      <w:pPr>
        <w:spacing w:after="40"/>
        <w:rPr>
          <w:rFonts w:cs="Arial"/>
          <w:sz w:val="22"/>
          <w:szCs w:val="22"/>
        </w:rPr>
      </w:pPr>
    </w:p>
    <w:p w14:paraId="53C3E539" w14:textId="77777777" w:rsidR="00F9625C" w:rsidRPr="00F9625C" w:rsidRDefault="00F9625C" w:rsidP="00F9625C">
      <w:pPr>
        <w:rPr>
          <w:rFonts w:cs="Arial"/>
          <w:sz w:val="22"/>
          <w:szCs w:val="22"/>
        </w:rPr>
      </w:pPr>
      <w:r w:rsidRPr="00F9625C">
        <w:rPr>
          <w:rFonts w:cs="Arial"/>
          <w:i/>
          <w:sz w:val="22"/>
          <w:szCs w:val="22"/>
        </w:rPr>
        <w:t xml:space="preserve">Nota: la codificación es </w:t>
      </w:r>
      <w:proofErr w:type="spellStart"/>
      <w:r w:rsidRPr="00F9625C">
        <w:rPr>
          <w:rFonts w:cs="Arial"/>
          <w:i/>
          <w:sz w:val="22"/>
          <w:szCs w:val="22"/>
        </w:rPr>
        <w:t>multietiqueta</w:t>
      </w:r>
      <w:proofErr w:type="spellEnd"/>
      <w:r w:rsidRPr="00F9625C">
        <w:rPr>
          <w:rFonts w:cs="Arial"/>
          <w:i/>
          <w:sz w:val="22"/>
          <w:szCs w:val="22"/>
        </w:rPr>
        <w:t>; una publicación puede pertenecer a varias dimensiones. Por ello, los porcentajes no suman 100 %. El análisis de sensibilidad sobre 39 publicaciones únicas mantuvo el mismo orden de las dimensiones predominantes.</w:t>
      </w:r>
    </w:p>
    <w:p w14:paraId="1D3DAA61" w14:textId="77777777" w:rsidR="00F9625C" w:rsidRPr="00F9625C" w:rsidRDefault="00F9625C" w:rsidP="00F9625C">
      <w:pPr>
        <w:spacing w:after="60"/>
        <w:rPr>
          <w:rFonts w:cs="Arial"/>
          <w:sz w:val="22"/>
          <w:szCs w:val="22"/>
        </w:rPr>
      </w:pPr>
      <w:r w:rsidRPr="00F9625C">
        <w:rPr>
          <w:rFonts w:cs="Arial"/>
          <w:b/>
          <w:sz w:val="22"/>
          <w:szCs w:val="22"/>
        </w:rPr>
        <w:lastRenderedPageBreak/>
        <w:t>Gráfico 2. Frecuencia de dimensiones comunes</w:t>
      </w:r>
    </w:p>
    <w:p w14:paraId="61BE0994" w14:textId="77777777" w:rsidR="00F9625C" w:rsidRPr="00F9625C" w:rsidRDefault="00F9625C" w:rsidP="00F9625C">
      <w:pPr>
        <w:jc w:val="center"/>
        <w:rPr>
          <w:rFonts w:cs="Arial"/>
          <w:sz w:val="22"/>
          <w:szCs w:val="22"/>
        </w:rPr>
      </w:pPr>
      <w:r w:rsidRPr="00F9625C">
        <w:rPr>
          <w:rFonts w:cs="Arial"/>
          <w:noProof/>
          <w:sz w:val="22"/>
          <w:szCs w:val="22"/>
          <w:lang w:eastAsia="es-PE"/>
        </w:rPr>
        <w:drawing>
          <wp:inline distT="0" distB="0" distL="0" distR="0" wp14:anchorId="7D8BF1EC" wp14:editId="7CCCD62E">
            <wp:extent cx="5760000" cy="32182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2_dimensiones.png"/>
                    <pic:cNvPicPr/>
                  </pic:nvPicPr>
                  <pic:blipFill>
                    <a:blip r:embed="rId10"/>
                    <a:stretch>
                      <a:fillRect/>
                    </a:stretch>
                  </pic:blipFill>
                  <pic:spPr>
                    <a:xfrm>
                      <a:off x="0" y="0"/>
                      <a:ext cx="5760000" cy="3218248"/>
                    </a:xfrm>
                    <a:prstGeom prst="rect">
                      <a:avLst/>
                    </a:prstGeom>
                  </pic:spPr>
                </pic:pic>
              </a:graphicData>
            </a:graphic>
          </wp:inline>
        </w:drawing>
      </w:r>
    </w:p>
    <w:p w14:paraId="52825166" w14:textId="77777777" w:rsidR="00F9625C" w:rsidRPr="00F9625C" w:rsidRDefault="00F9625C" w:rsidP="00F9625C">
      <w:pPr>
        <w:spacing w:after="60"/>
        <w:rPr>
          <w:rFonts w:cs="Arial"/>
          <w:sz w:val="22"/>
          <w:szCs w:val="22"/>
        </w:rPr>
      </w:pPr>
      <w:r w:rsidRPr="00F9625C">
        <w:rPr>
          <w:rFonts w:cs="Arial"/>
          <w:b/>
          <w:sz w:val="22"/>
          <w:szCs w:val="22"/>
        </w:rPr>
        <w:t>Tabla 3. Clasificación del enfoque temático principal</w:t>
      </w:r>
    </w:p>
    <w:tbl>
      <w:tblPr>
        <w:tblStyle w:val="Tablaconcuadrcula"/>
        <w:tblW w:w="0" w:type="auto"/>
        <w:jc w:val="center"/>
        <w:tblLook w:val="04A0" w:firstRow="1" w:lastRow="0" w:firstColumn="1" w:lastColumn="0" w:noHBand="0" w:noVBand="1"/>
      </w:tblPr>
      <w:tblGrid>
        <w:gridCol w:w="6033"/>
        <w:gridCol w:w="1311"/>
        <w:gridCol w:w="1150"/>
      </w:tblGrid>
      <w:tr w:rsidR="00F9625C" w:rsidRPr="00F9625C" w14:paraId="7A9FEDB9" w14:textId="77777777" w:rsidTr="007E2AA1">
        <w:trPr>
          <w:cantSplit/>
          <w:tblHeader/>
          <w:jc w:val="center"/>
        </w:trPr>
        <w:tc>
          <w:tcPr>
            <w:tcW w:w="6803" w:type="dxa"/>
            <w:shd w:val="clear" w:color="auto" w:fill="D9D9D9"/>
            <w:vAlign w:val="center"/>
          </w:tcPr>
          <w:p w14:paraId="6C799FB4"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Enfoque principal</w:t>
            </w:r>
          </w:p>
        </w:tc>
        <w:tc>
          <w:tcPr>
            <w:tcW w:w="1361" w:type="dxa"/>
            <w:shd w:val="clear" w:color="auto" w:fill="D9D9D9"/>
            <w:vAlign w:val="center"/>
          </w:tcPr>
          <w:p w14:paraId="10F09A94"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Número de fichas</w:t>
            </w:r>
          </w:p>
        </w:tc>
        <w:tc>
          <w:tcPr>
            <w:tcW w:w="1247" w:type="dxa"/>
            <w:shd w:val="clear" w:color="auto" w:fill="D9D9D9"/>
            <w:vAlign w:val="center"/>
          </w:tcPr>
          <w:p w14:paraId="7966DFAD"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w:t>
            </w:r>
          </w:p>
        </w:tc>
      </w:tr>
      <w:tr w:rsidR="00F9625C" w:rsidRPr="00F9625C" w14:paraId="7768D9C3" w14:textId="77777777" w:rsidTr="007E2AA1">
        <w:trPr>
          <w:cantSplit/>
          <w:jc w:val="center"/>
        </w:trPr>
        <w:tc>
          <w:tcPr>
            <w:tcW w:w="6803" w:type="dxa"/>
            <w:vAlign w:val="center"/>
          </w:tcPr>
          <w:p w14:paraId="646FD867" w14:textId="77777777" w:rsidR="00F9625C" w:rsidRPr="00F9625C" w:rsidRDefault="00F9625C" w:rsidP="00F9625C">
            <w:pPr>
              <w:rPr>
                <w:rFonts w:ascii="Arial" w:hAnsi="Arial" w:cs="Arial"/>
                <w:sz w:val="22"/>
                <w:szCs w:val="22"/>
              </w:rPr>
            </w:pPr>
            <w:r w:rsidRPr="00F9625C">
              <w:rPr>
                <w:rFonts w:ascii="Arial" w:hAnsi="Arial" w:cs="Arial"/>
                <w:sz w:val="22"/>
                <w:szCs w:val="22"/>
              </w:rPr>
              <w:t>Derechos de la naturaleza / constitucionalismo ecológico</w:t>
            </w:r>
          </w:p>
        </w:tc>
        <w:tc>
          <w:tcPr>
            <w:tcW w:w="1361" w:type="dxa"/>
            <w:vAlign w:val="center"/>
          </w:tcPr>
          <w:p w14:paraId="31CDCD8C"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11</w:t>
            </w:r>
          </w:p>
        </w:tc>
        <w:tc>
          <w:tcPr>
            <w:tcW w:w="1247" w:type="dxa"/>
            <w:vAlign w:val="center"/>
          </w:tcPr>
          <w:p w14:paraId="3F533D7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27.5 %</w:t>
            </w:r>
          </w:p>
        </w:tc>
      </w:tr>
      <w:tr w:rsidR="00F9625C" w:rsidRPr="00F9625C" w14:paraId="0E85A106" w14:textId="77777777" w:rsidTr="007E2AA1">
        <w:trPr>
          <w:cantSplit/>
          <w:jc w:val="center"/>
        </w:trPr>
        <w:tc>
          <w:tcPr>
            <w:tcW w:w="6803" w:type="dxa"/>
            <w:vAlign w:val="center"/>
          </w:tcPr>
          <w:p w14:paraId="0C76F325" w14:textId="77777777" w:rsidR="00F9625C" w:rsidRPr="00F9625C" w:rsidRDefault="00F9625C" w:rsidP="00F9625C">
            <w:pPr>
              <w:rPr>
                <w:rFonts w:ascii="Arial" w:hAnsi="Arial" w:cs="Arial"/>
                <w:sz w:val="22"/>
                <w:szCs w:val="22"/>
              </w:rPr>
            </w:pPr>
            <w:r w:rsidRPr="00F9625C">
              <w:rPr>
                <w:rFonts w:ascii="Arial" w:hAnsi="Arial" w:cs="Arial"/>
                <w:sz w:val="22"/>
                <w:szCs w:val="22"/>
              </w:rPr>
              <w:t>Minería ilegal, regulación, formalización y control estatal</w:t>
            </w:r>
          </w:p>
        </w:tc>
        <w:tc>
          <w:tcPr>
            <w:tcW w:w="1361" w:type="dxa"/>
            <w:vAlign w:val="center"/>
          </w:tcPr>
          <w:p w14:paraId="4A5A9C18"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16</w:t>
            </w:r>
          </w:p>
        </w:tc>
        <w:tc>
          <w:tcPr>
            <w:tcW w:w="1247" w:type="dxa"/>
            <w:vAlign w:val="center"/>
          </w:tcPr>
          <w:p w14:paraId="112333C4"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40.0 %</w:t>
            </w:r>
          </w:p>
        </w:tc>
      </w:tr>
      <w:tr w:rsidR="00F9625C" w:rsidRPr="00F9625C" w14:paraId="228E39EB" w14:textId="77777777" w:rsidTr="007E2AA1">
        <w:trPr>
          <w:cantSplit/>
          <w:jc w:val="center"/>
        </w:trPr>
        <w:tc>
          <w:tcPr>
            <w:tcW w:w="6803" w:type="dxa"/>
            <w:vAlign w:val="center"/>
          </w:tcPr>
          <w:p w14:paraId="377F2D36" w14:textId="77777777" w:rsidR="00F9625C" w:rsidRPr="00F9625C" w:rsidRDefault="00F9625C" w:rsidP="00F9625C">
            <w:pPr>
              <w:rPr>
                <w:rFonts w:ascii="Arial" w:hAnsi="Arial" w:cs="Arial"/>
                <w:sz w:val="22"/>
                <w:szCs w:val="22"/>
              </w:rPr>
            </w:pPr>
            <w:r w:rsidRPr="00F9625C">
              <w:rPr>
                <w:rFonts w:ascii="Arial" w:hAnsi="Arial" w:cs="Arial"/>
                <w:sz w:val="22"/>
                <w:szCs w:val="22"/>
              </w:rPr>
              <w:t>Pueblos indígenas, territorio y conflictos extractivos</w:t>
            </w:r>
          </w:p>
        </w:tc>
        <w:tc>
          <w:tcPr>
            <w:tcW w:w="1361" w:type="dxa"/>
            <w:vAlign w:val="center"/>
          </w:tcPr>
          <w:p w14:paraId="24F635C7"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10</w:t>
            </w:r>
          </w:p>
        </w:tc>
        <w:tc>
          <w:tcPr>
            <w:tcW w:w="1247" w:type="dxa"/>
            <w:vAlign w:val="center"/>
          </w:tcPr>
          <w:p w14:paraId="1479DFD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25.0 %</w:t>
            </w:r>
          </w:p>
        </w:tc>
      </w:tr>
      <w:tr w:rsidR="00F9625C" w:rsidRPr="00F9625C" w14:paraId="1CC9330B" w14:textId="77777777" w:rsidTr="007E2AA1">
        <w:trPr>
          <w:cantSplit/>
          <w:jc w:val="center"/>
        </w:trPr>
        <w:tc>
          <w:tcPr>
            <w:tcW w:w="6803" w:type="dxa"/>
            <w:vAlign w:val="center"/>
          </w:tcPr>
          <w:p w14:paraId="45509FEC" w14:textId="77777777" w:rsidR="00F9625C" w:rsidRPr="00F9625C" w:rsidRDefault="00F9625C" w:rsidP="00F9625C">
            <w:pPr>
              <w:rPr>
                <w:rFonts w:ascii="Arial" w:hAnsi="Arial" w:cs="Arial"/>
                <w:sz w:val="22"/>
                <w:szCs w:val="22"/>
              </w:rPr>
            </w:pPr>
            <w:r w:rsidRPr="00F9625C">
              <w:rPr>
                <w:rFonts w:ascii="Arial" w:hAnsi="Arial" w:cs="Arial"/>
                <w:sz w:val="22"/>
                <w:szCs w:val="22"/>
              </w:rPr>
              <w:t>Gobernanza minera, propiedad y desarrollo</w:t>
            </w:r>
          </w:p>
        </w:tc>
        <w:tc>
          <w:tcPr>
            <w:tcW w:w="1361" w:type="dxa"/>
            <w:vAlign w:val="center"/>
          </w:tcPr>
          <w:p w14:paraId="4113F96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3</w:t>
            </w:r>
          </w:p>
        </w:tc>
        <w:tc>
          <w:tcPr>
            <w:tcW w:w="1247" w:type="dxa"/>
            <w:vAlign w:val="center"/>
          </w:tcPr>
          <w:p w14:paraId="3652AD25"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7.5 %</w:t>
            </w:r>
          </w:p>
        </w:tc>
      </w:tr>
    </w:tbl>
    <w:p w14:paraId="6DB7F539" w14:textId="77777777" w:rsidR="00F9625C" w:rsidRPr="00F9625C" w:rsidRDefault="00F9625C" w:rsidP="00F9625C">
      <w:pPr>
        <w:spacing w:after="40"/>
        <w:rPr>
          <w:rFonts w:cs="Arial"/>
          <w:sz w:val="22"/>
          <w:szCs w:val="22"/>
        </w:rPr>
      </w:pPr>
    </w:p>
    <w:p w14:paraId="45478FCE" w14:textId="77777777" w:rsidR="00F9625C" w:rsidRPr="00F9625C" w:rsidRDefault="00F9625C" w:rsidP="00F9625C">
      <w:pPr>
        <w:spacing w:after="60"/>
        <w:rPr>
          <w:rFonts w:cs="Arial"/>
          <w:sz w:val="22"/>
          <w:szCs w:val="22"/>
        </w:rPr>
      </w:pPr>
      <w:r w:rsidRPr="00F9625C">
        <w:rPr>
          <w:rFonts w:cs="Arial"/>
          <w:b/>
          <w:sz w:val="22"/>
          <w:szCs w:val="22"/>
        </w:rPr>
        <w:t>Gráfico 3. Enfoque temático principal</w:t>
      </w:r>
    </w:p>
    <w:p w14:paraId="6564B4AA" w14:textId="77777777" w:rsidR="00F9625C" w:rsidRPr="00F9625C" w:rsidRDefault="00F9625C" w:rsidP="00F9625C">
      <w:pPr>
        <w:jc w:val="center"/>
        <w:rPr>
          <w:rFonts w:cs="Arial"/>
          <w:sz w:val="22"/>
          <w:szCs w:val="22"/>
        </w:rPr>
      </w:pPr>
      <w:r w:rsidRPr="00F9625C">
        <w:rPr>
          <w:rFonts w:cs="Arial"/>
          <w:noProof/>
          <w:sz w:val="22"/>
          <w:szCs w:val="22"/>
          <w:lang w:eastAsia="es-PE"/>
        </w:rPr>
        <w:drawing>
          <wp:inline distT="0" distB="0" distL="0" distR="0" wp14:anchorId="59418ED5" wp14:editId="25CC624A">
            <wp:extent cx="5579547" cy="2525486"/>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3_enfoques.png"/>
                    <pic:cNvPicPr/>
                  </pic:nvPicPr>
                  <pic:blipFill>
                    <a:blip r:embed="rId11"/>
                    <a:stretch>
                      <a:fillRect/>
                    </a:stretch>
                  </pic:blipFill>
                  <pic:spPr>
                    <a:xfrm>
                      <a:off x="0" y="0"/>
                      <a:ext cx="5585895" cy="2528360"/>
                    </a:xfrm>
                    <a:prstGeom prst="rect">
                      <a:avLst/>
                    </a:prstGeom>
                  </pic:spPr>
                </pic:pic>
              </a:graphicData>
            </a:graphic>
          </wp:inline>
        </w:drawing>
      </w:r>
    </w:p>
    <w:p w14:paraId="6CB2B395" w14:textId="77777777" w:rsidR="00F9625C" w:rsidRPr="00F9625C" w:rsidRDefault="00F9625C" w:rsidP="00F9625C">
      <w:pPr>
        <w:spacing w:after="60"/>
        <w:rPr>
          <w:rFonts w:cs="Arial"/>
          <w:sz w:val="22"/>
          <w:szCs w:val="22"/>
        </w:rPr>
      </w:pPr>
      <w:r w:rsidRPr="00F9625C">
        <w:rPr>
          <w:rFonts w:cs="Arial"/>
          <w:b/>
          <w:sz w:val="22"/>
          <w:szCs w:val="22"/>
        </w:rPr>
        <w:t>Tabla 4. Ubicación geográfica / ámbito de las investigaciones revisadas</w:t>
      </w:r>
    </w:p>
    <w:tbl>
      <w:tblPr>
        <w:tblStyle w:val="Tablaconcuadrcula"/>
        <w:tblW w:w="0" w:type="auto"/>
        <w:jc w:val="center"/>
        <w:tblLook w:val="04A0" w:firstRow="1" w:lastRow="0" w:firstColumn="1" w:lastColumn="0" w:noHBand="0" w:noVBand="1"/>
      </w:tblPr>
      <w:tblGrid>
        <w:gridCol w:w="5929"/>
        <w:gridCol w:w="1361"/>
        <w:gridCol w:w="1204"/>
      </w:tblGrid>
      <w:tr w:rsidR="00F9625C" w:rsidRPr="00F9625C" w14:paraId="1CBF6EAD" w14:textId="77777777" w:rsidTr="007E2AA1">
        <w:trPr>
          <w:cantSplit/>
          <w:tblHeader/>
          <w:jc w:val="center"/>
        </w:trPr>
        <w:tc>
          <w:tcPr>
            <w:tcW w:w="6690" w:type="dxa"/>
            <w:shd w:val="clear" w:color="auto" w:fill="D9D9D9"/>
            <w:vAlign w:val="center"/>
          </w:tcPr>
          <w:p w14:paraId="1EA05650"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lastRenderedPageBreak/>
              <w:t>Ámbito</w:t>
            </w:r>
          </w:p>
        </w:tc>
        <w:tc>
          <w:tcPr>
            <w:tcW w:w="1417" w:type="dxa"/>
            <w:shd w:val="clear" w:color="auto" w:fill="D9D9D9"/>
            <w:vAlign w:val="center"/>
          </w:tcPr>
          <w:p w14:paraId="081C0638"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Número de fichas</w:t>
            </w:r>
          </w:p>
        </w:tc>
        <w:tc>
          <w:tcPr>
            <w:tcW w:w="1304" w:type="dxa"/>
            <w:shd w:val="clear" w:color="auto" w:fill="D9D9D9"/>
            <w:vAlign w:val="center"/>
          </w:tcPr>
          <w:p w14:paraId="36274CF0" w14:textId="77777777" w:rsidR="00F9625C" w:rsidRPr="00F9625C" w:rsidRDefault="00F9625C" w:rsidP="00F9625C">
            <w:pPr>
              <w:jc w:val="center"/>
              <w:rPr>
                <w:rFonts w:ascii="Arial" w:hAnsi="Arial" w:cs="Arial"/>
                <w:sz w:val="22"/>
                <w:szCs w:val="22"/>
              </w:rPr>
            </w:pPr>
            <w:r w:rsidRPr="00F9625C">
              <w:rPr>
                <w:rFonts w:ascii="Arial" w:hAnsi="Arial" w:cs="Arial"/>
                <w:b/>
                <w:sz w:val="22"/>
                <w:szCs w:val="22"/>
              </w:rPr>
              <w:t>%</w:t>
            </w:r>
          </w:p>
        </w:tc>
      </w:tr>
      <w:tr w:rsidR="00F9625C" w:rsidRPr="00F9625C" w14:paraId="7BAF8466" w14:textId="77777777" w:rsidTr="007E2AA1">
        <w:trPr>
          <w:cantSplit/>
          <w:jc w:val="center"/>
        </w:trPr>
        <w:tc>
          <w:tcPr>
            <w:tcW w:w="6690" w:type="dxa"/>
            <w:vAlign w:val="center"/>
          </w:tcPr>
          <w:p w14:paraId="7705B45E" w14:textId="77777777" w:rsidR="00F9625C" w:rsidRPr="00F9625C" w:rsidRDefault="00F9625C" w:rsidP="00F9625C">
            <w:pPr>
              <w:rPr>
                <w:rFonts w:ascii="Arial" w:hAnsi="Arial" w:cs="Arial"/>
                <w:sz w:val="22"/>
                <w:szCs w:val="22"/>
              </w:rPr>
            </w:pPr>
            <w:r w:rsidRPr="00F9625C">
              <w:rPr>
                <w:rFonts w:ascii="Arial" w:hAnsi="Arial" w:cs="Arial"/>
                <w:sz w:val="22"/>
                <w:szCs w:val="22"/>
              </w:rPr>
              <w:t>Perú (estudios nacionales)</w:t>
            </w:r>
          </w:p>
        </w:tc>
        <w:tc>
          <w:tcPr>
            <w:tcW w:w="1417" w:type="dxa"/>
            <w:vAlign w:val="center"/>
          </w:tcPr>
          <w:p w14:paraId="30E56BF7"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20</w:t>
            </w:r>
          </w:p>
        </w:tc>
        <w:tc>
          <w:tcPr>
            <w:tcW w:w="1304" w:type="dxa"/>
            <w:vAlign w:val="center"/>
          </w:tcPr>
          <w:p w14:paraId="6C6BB945"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50.0 %</w:t>
            </w:r>
          </w:p>
        </w:tc>
      </w:tr>
      <w:tr w:rsidR="00F9625C" w:rsidRPr="00F9625C" w14:paraId="1C1C4A96" w14:textId="77777777" w:rsidTr="007E2AA1">
        <w:trPr>
          <w:cantSplit/>
          <w:jc w:val="center"/>
        </w:trPr>
        <w:tc>
          <w:tcPr>
            <w:tcW w:w="6690" w:type="dxa"/>
            <w:vAlign w:val="center"/>
          </w:tcPr>
          <w:p w14:paraId="17773278" w14:textId="77777777" w:rsidR="00F9625C" w:rsidRPr="00F9625C" w:rsidRDefault="00F9625C" w:rsidP="00F9625C">
            <w:pPr>
              <w:rPr>
                <w:rFonts w:ascii="Arial" w:hAnsi="Arial" w:cs="Arial"/>
                <w:sz w:val="22"/>
                <w:szCs w:val="22"/>
              </w:rPr>
            </w:pPr>
            <w:r w:rsidRPr="00F9625C">
              <w:rPr>
                <w:rFonts w:ascii="Arial" w:hAnsi="Arial" w:cs="Arial"/>
                <w:sz w:val="22"/>
                <w:szCs w:val="22"/>
              </w:rPr>
              <w:t>Ecuador (casos específicos)</w:t>
            </w:r>
          </w:p>
        </w:tc>
        <w:tc>
          <w:tcPr>
            <w:tcW w:w="1417" w:type="dxa"/>
            <w:vAlign w:val="center"/>
          </w:tcPr>
          <w:p w14:paraId="52D7F158"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6</w:t>
            </w:r>
          </w:p>
        </w:tc>
        <w:tc>
          <w:tcPr>
            <w:tcW w:w="1304" w:type="dxa"/>
            <w:vAlign w:val="center"/>
          </w:tcPr>
          <w:p w14:paraId="4152AF4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15.0 %</w:t>
            </w:r>
          </w:p>
        </w:tc>
      </w:tr>
      <w:tr w:rsidR="00F9625C" w:rsidRPr="00F9625C" w14:paraId="07E30D0D" w14:textId="77777777" w:rsidTr="007E2AA1">
        <w:trPr>
          <w:cantSplit/>
          <w:jc w:val="center"/>
        </w:trPr>
        <w:tc>
          <w:tcPr>
            <w:tcW w:w="6690" w:type="dxa"/>
            <w:vAlign w:val="center"/>
          </w:tcPr>
          <w:p w14:paraId="04660AA7" w14:textId="77777777" w:rsidR="00F9625C" w:rsidRPr="00F9625C" w:rsidRDefault="00F9625C" w:rsidP="00F9625C">
            <w:pPr>
              <w:rPr>
                <w:rFonts w:ascii="Arial" w:hAnsi="Arial" w:cs="Arial"/>
                <w:sz w:val="22"/>
                <w:szCs w:val="22"/>
              </w:rPr>
            </w:pPr>
            <w:r w:rsidRPr="00F9625C">
              <w:rPr>
                <w:rFonts w:ascii="Arial" w:hAnsi="Arial" w:cs="Arial"/>
                <w:sz w:val="22"/>
                <w:szCs w:val="22"/>
              </w:rPr>
              <w:t>América Latina / región andina (comparado)</w:t>
            </w:r>
          </w:p>
        </w:tc>
        <w:tc>
          <w:tcPr>
            <w:tcW w:w="1417" w:type="dxa"/>
            <w:vAlign w:val="center"/>
          </w:tcPr>
          <w:p w14:paraId="59B357F2"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8</w:t>
            </w:r>
          </w:p>
        </w:tc>
        <w:tc>
          <w:tcPr>
            <w:tcW w:w="1304" w:type="dxa"/>
            <w:vAlign w:val="center"/>
          </w:tcPr>
          <w:p w14:paraId="5041D05B"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20.0 %</w:t>
            </w:r>
          </w:p>
        </w:tc>
      </w:tr>
      <w:tr w:rsidR="00F9625C" w:rsidRPr="00F9625C" w14:paraId="17E40F36" w14:textId="77777777" w:rsidTr="007E2AA1">
        <w:trPr>
          <w:cantSplit/>
          <w:jc w:val="center"/>
        </w:trPr>
        <w:tc>
          <w:tcPr>
            <w:tcW w:w="6690" w:type="dxa"/>
            <w:vAlign w:val="center"/>
          </w:tcPr>
          <w:p w14:paraId="2C7864F8" w14:textId="77777777" w:rsidR="00F9625C" w:rsidRPr="00F9625C" w:rsidRDefault="00F9625C" w:rsidP="00F9625C">
            <w:pPr>
              <w:rPr>
                <w:rFonts w:ascii="Arial" w:hAnsi="Arial" w:cs="Arial"/>
                <w:sz w:val="22"/>
                <w:szCs w:val="22"/>
              </w:rPr>
            </w:pPr>
            <w:r w:rsidRPr="00F9625C">
              <w:rPr>
                <w:rFonts w:ascii="Arial" w:hAnsi="Arial" w:cs="Arial"/>
                <w:sz w:val="22"/>
                <w:szCs w:val="22"/>
              </w:rPr>
              <w:t>Amazonía regional</w:t>
            </w:r>
          </w:p>
        </w:tc>
        <w:tc>
          <w:tcPr>
            <w:tcW w:w="1417" w:type="dxa"/>
            <w:vAlign w:val="center"/>
          </w:tcPr>
          <w:p w14:paraId="21C64F3E"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w:t>
            </w:r>
          </w:p>
        </w:tc>
        <w:tc>
          <w:tcPr>
            <w:tcW w:w="1304" w:type="dxa"/>
            <w:vAlign w:val="center"/>
          </w:tcPr>
          <w:p w14:paraId="4FDACC7F"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2.5 %</w:t>
            </w:r>
          </w:p>
        </w:tc>
      </w:tr>
      <w:tr w:rsidR="00F9625C" w:rsidRPr="00F9625C" w14:paraId="7D67BCAA" w14:textId="77777777" w:rsidTr="007E2AA1">
        <w:trPr>
          <w:cantSplit/>
          <w:jc w:val="center"/>
        </w:trPr>
        <w:tc>
          <w:tcPr>
            <w:tcW w:w="6690" w:type="dxa"/>
            <w:vAlign w:val="center"/>
          </w:tcPr>
          <w:p w14:paraId="232853C0" w14:textId="77777777" w:rsidR="00F9625C" w:rsidRPr="00F9625C" w:rsidRDefault="00F9625C" w:rsidP="00F9625C">
            <w:pPr>
              <w:rPr>
                <w:rFonts w:ascii="Arial" w:hAnsi="Arial" w:cs="Arial"/>
                <w:sz w:val="22"/>
                <w:szCs w:val="22"/>
              </w:rPr>
            </w:pPr>
            <w:r w:rsidRPr="00F9625C">
              <w:rPr>
                <w:rFonts w:ascii="Arial" w:hAnsi="Arial" w:cs="Arial"/>
                <w:sz w:val="22"/>
                <w:szCs w:val="22"/>
              </w:rPr>
              <w:t>Ámbito global</w:t>
            </w:r>
          </w:p>
        </w:tc>
        <w:tc>
          <w:tcPr>
            <w:tcW w:w="1417" w:type="dxa"/>
            <w:vAlign w:val="center"/>
          </w:tcPr>
          <w:p w14:paraId="5D21AB04"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w:t>
            </w:r>
          </w:p>
        </w:tc>
        <w:tc>
          <w:tcPr>
            <w:tcW w:w="1304" w:type="dxa"/>
            <w:vAlign w:val="center"/>
          </w:tcPr>
          <w:p w14:paraId="6FAA901E"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5.0 %</w:t>
            </w:r>
          </w:p>
        </w:tc>
      </w:tr>
      <w:tr w:rsidR="00F9625C" w:rsidRPr="00F9625C" w14:paraId="39AB9E3F" w14:textId="77777777" w:rsidTr="007E2AA1">
        <w:trPr>
          <w:cantSplit/>
          <w:jc w:val="center"/>
        </w:trPr>
        <w:tc>
          <w:tcPr>
            <w:tcW w:w="6690" w:type="dxa"/>
            <w:vAlign w:val="center"/>
          </w:tcPr>
          <w:p w14:paraId="0FBDCA02" w14:textId="77777777" w:rsidR="00F9625C" w:rsidRPr="00F9625C" w:rsidRDefault="00F9625C" w:rsidP="00F9625C">
            <w:pPr>
              <w:rPr>
                <w:rFonts w:ascii="Arial" w:hAnsi="Arial" w:cs="Arial"/>
                <w:sz w:val="22"/>
                <w:szCs w:val="22"/>
              </w:rPr>
            </w:pPr>
            <w:r w:rsidRPr="00F9625C">
              <w:rPr>
                <w:rFonts w:ascii="Arial" w:hAnsi="Arial" w:cs="Arial"/>
                <w:sz w:val="22"/>
                <w:szCs w:val="22"/>
              </w:rPr>
              <w:t>Sistema Interamericano</w:t>
            </w:r>
          </w:p>
        </w:tc>
        <w:tc>
          <w:tcPr>
            <w:tcW w:w="1417" w:type="dxa"/>
            <w:vAlign w:val="center"/>
          </w:tcPr>
          <w:p w14:paraId="7EFB7920"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w:t>
            </w:r>
          </w:p>
        </w:tc>
        <w:tc>
          <w:tcPr>
            <w:tcW w:w="1304" w:type="dxa"/>
            <w:vAlign w:val="center"/>
          </w:tcPr>
          <w:p w14:paraId="1062CEFE"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2.5 %</w:t>
            </w:r>
          </w:p>
        </w:tc>
      </w:tr>
      <w:tr w:rsidR="00F9625C" w:rsidRPr="00F9625C" w14:paraId="65FB8E96" w14:textId="77777777" w:rsidTr="007E2AA1">
        <w:trPr>
          <w:cantSplit/>
          <w:jc w:val="center"/>
        </w:trPr>
        <w:tc>
          <w:tcPr>
            <w:tcW w:w="6690" w:type="dxa"/>
            <w:vAlign w:val="center"/>
          </w:tcPr>
          <w:p w14:paraId="07E2A4AB" w14:textId="77777777" w:rsidR="00F9625C" w:rsidRPr="00F9625C" w:rsidRDefault="00F9625C" w:rsidP="00F9625C">
            <w:pPr>
              <w:rPr>
                <w:rFonts w:ascii="Arial" w:hAnsi="Arial" w:cs="Arial"/>
                <w:sz w:val="22"/>
                <w:szCs w:val="22"/>
              </w:rPr>
            </w:pPr>
            <w:r w:rsidRPr="00F9625C">
              <w:rPr>
                <w:rFonts w:ascii="Arial" w:hAnsi="Arial" w:cs="Arial"/>
                <w:sz w:val="22"/>
                <w:szCs w:val="22"/>
              </w:rPr>
              <w:t>Centroamérica y México</w:t>
            </w:r>
          </w:p>
        </w:tc>
        <w:tc>
          <w:tcPr>
            <w:tcW w:w="1417" w:type="dxa"/>
            <w:vAlign w:val="center"/>
          </w:tcPr>
          <w:p w14:paraId="1CD3D611"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w:t>
            </w:r>
          </w:p>
        </w:tc>
        <w:tc>
          <w:tcPr>
            <w:tcW w:w="1304" w:type="dxa"/>
            <w:vAlign w:val="center"/>
          </w:tcPr>
          <w:p w14:paraId="05C80885"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2.5 %</w:t>
            </w:r>
          </w:p>
        </w:tc>
      </w:tr>
      <w:tr w:rsidR="00F9625C" w:rsidRPr="00F9625C" w14:paraId="663931FD" w14:textId="77777777" w:rsidTr="007E2AA1">
        <w:trPr>
          <w:cantSplit/>
          <w:jc w:val="center"/>
        </w:trPr>
        <w:tc>
          <w:tcPr>
            <w:tcW w:w="6690" w:type="dxa"/>
            <w:vAlign w:val="center"/>
          </w:tcPr>
          <w:p w14:paraId="7E99FA23" w14:textId="77777777" w:rsidR="00F9625C" w:rsidRPr="00F9625C" w:rsidRDefault="00F9625C" w:rsidP="00F9625C">
            <w:pPr>
              <w:rPr>
                <w:rFonts w:ascii="Arial" w:hAnsi="Arial" w:cs="Arial"/>
                <w:sz w:val="22"/>
                <w:szCs w:val="22"/>
              </w:rPr>
            </w:pPr>
            <w:r w:rsidRPr="00F9625C">
              <w:rPr>
                <w:rFonts w:ascii="Arial" w:hAnsi="Arial" w:cs="Arial"/>
                <w:sz w:val="22"/>
                <w:szCs w:val="22"/>
              </w:rPr>
              <w:t>Comparado extra-regional</w:t>
            </w:r>
          </w:p>
        </w:tc>
        <w:tc>
          <w:tcPr>
            <w:tcW w:w="1417" w:type="dxa"/>
            <w:vAlign w:val="center"/>
          </w:tcPr>
          <w:p w14:paraId="741E1543"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w:t>
            </w:r>
          </w:p>
        </w:tc>
        <w:tc>
          <w:tcPr>
            <w:tcW w:w="1304" w:type="dxa"/>
            <w:vAlign w:val="center"/>
          </w:tcPr>
          <w:p w14:paraId="4122919E"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2.5 %</w:t>
            </w:r>
          </w:p>
        </w:tc>
      </w:tr>
      <w:tr w:rsidR="00F9625C" w:rsidRPr="00F9625C" w14:paraId="3053426E" w14:textId="77777777" w:rsidTr="007E2AA1">
        <w:trPr>
          <w:cantSplit/>
          <w:jc w:val="center"/>
        </w:trPr>
        <w:tc>
          <w:tcPr>
            <w:tcW w:w="6690" w:type="dxa"/>
            <w:vAlign w:val="center"/>
          </w:tcPr>
          <w:p w14:paraId="3B3F9DB6" w14:textId="77777777" w:rsidR="00F9625C" w:rsidRPr="00F9625C" w:rsidRDefault="00F9625C" w:rsidP="00F9625C">
            <w:pPr>
              <w:rPr>
                <w:rFonts w:ascii="Arial" w:hAnsi="Arial" w:cs="Arial"/>
                <w:sz w:val="22"/>
                <w:szCs w:val="22"/>
              </w:rPr>
            </w:pPr>
            <w:r w:rsidRPr="00F9625C">
              <w:rPr>
                <w:rFonts w:ascii="Arial" w:hAnsi="Arial" w:cs="Arial"/>
                <w:sz w:val="22"/>
                <w:szCs w:val="22"/>
              </w:rPr>
              <w:t>Total</w:t>
            </w:r>
          </w:p>
        </w:tc>
        <w:tc>
          <w:tcPr>
            <w:tcW w:w="1417" w:type="dxa"/>
            <w:vAlign w:val="center"/>
          </w:tcPr>
          <w:p w14:paraId="1292310D"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40</w:t>
            </w:r>
          </w:p>
        </w:tc>
        <w:tc>
          <w:tcPr>
            <w:tcW w:w="1304" w:type="dxa"/>
            <w:vAlign w:val="center"/>
          </w:tcPr>
          <w:p w14:paraId="0D7082B6" w14:textId="77777777" w:rsidR="00F9625C" w:rsidRPr="00F9625C" w:rsidRDefault="00F9625C" w:rsidP="00F9625C">
            <w:pPr>
              <w:jc w:val="center"/>
              <w:rPr>
                <w:rFonts w:ascii="Arial" w:hAnsi="Arial" w:cs="Arial"/>
                <w:sz w:val="22"/>
                <w:szCs w:val="22"/>
              </w:rPr>
            </w:pPr>
            <w:r w:rsidRPr="00F9625C">
              <w:rPr>
                <w:rFonts w:ascii="Arial" w:hAnsi="Arial" w:cs="Arial"/>
                <w:sz w:val="22"/>
                <w:szCs w:val="22"/>
              </w:rPr>
              <w:t>100 %</w:t>
            </w:r>
          </w:p>
        </w:tc>
      </w:tr>
    </w:tbl>
    <w:p w14:paraId="0528464A" w14:textId="77777777" w:rsidR="00F9625C" w:rsidRPr="00F9625C" w:rsidRDefault="00F9625C" w:rsidP="00F9625C">
      <w:pPr>
        <w:spacing w:after="40"/>
        <w:rPr>
          <w:rFonts w:cs="Arial"/>
          <w:sz w:val="22"/>
          <w:szCs w:val="22"/>
        </w:rPr>
      </w:pPr>
    </w:p>
    <w:p w14:paraId="751D2D91" w14:textId="77777777" w:rsidR="00F9625C" w:rsidRDefault="00F9625C" w:rsidP="00F9625C">
      <w:pPr>
        <w:spacing w:after="60"/>
        <w:rPr>
          <w:rFonts w:cs="Arial"/>
          <w:b/>
          <w:sz w:val="22"/>
          <w:szCs w:val="22"/>
        </w:rPr>
      </w:pPr>
      <w:r w:rsidRPr="00F9625C">
        <w:rPr>
          <w:rFonts w:cs="Arial"/>
          <w:b/>
          <w:sz w:val="22"/>
          <w:szCs w:val="22"/>
        </w:rPr>
        <w:t>Gráfico 4. Ubicación geográfica / ámbito de las investigaciones revisadas</w:t>
      </w:r>
    </w:p>
    <w:p w14:paraId="4F044FCB" w14:textId="77777777" w:rsidR="00F9625C" w:rsidRPr="00F9625C" w:rsidRDefault="00F9625C" w:rsidP="00F9625C">
      <w:pPr>
        <w:spacing w:after="60"/>
        <w:rPr>
          <w:rFonts w:cs="Arial"/>
          <w:sz w:val="22"/>
          <w:szCs w:val="22"/>
        </w:rPr>
      </w:pPr>
    </w:p>
    <w:p w14:paraId="7B6A05B7" w14:textId="77777777" w:rsidR="00F9625C" w:rsidRPr="00F9625C" w:rsidRDefault="00F9625C" w:rsidP="00F9625C">
      <w:pPr>
        <w:jc w:val="center"/>
        <w:rPr>
          <w:rFonts w:cs="Arial"/>
          <w:sz w:val="22"/>
          <w:szCs w:val="22"/>
        </w:rPr>
      </w:pPr>
      <w:r w:rsidRPr="00F9625C">
        <w:rPr>
          <w:rFonts w:cs="Arial"/>
          <w:noProof/>
          <w:sz w:val="22"/>
          <w:szCs w:val="22"/>
          <w:lang w:eastAsia="es-PE"/>
        </w:rPr>
        <w:drawing>
          <wp:inline distT="0" distB="0" distL="0" distR="0" wp14:anchorId="0C863DC7" wp14:editId="14FCADB9">
            <wp:extent cx="5580000" cy="31282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4_geografia.png"/>
                    <pic:cNvPicPr/>
                  </pic:nvPicPr>
                  <pic:blipFill>
                    <a:blip r:embed="rId12"/>
                    <a:stretch>
                      <a:fillRect/>
                    </a:stretch>
                  </pic:blipFill>
                  <pic:spPr>
                    <a:xfrm>
                      <a:off x="0" y="0"/>
                      <a:ext cx="5580000" cy="3128297"/>
                    </a:xfrm>
                    <a:prstGeom prst="rect">
                      <a:avLst/>
                    </a:prstGeom>
                  </pic:spPr>
                </pic:pic>
              </a:graphicData>
            </a:graphic>
          </wp:inline>
        </w:drawing>
      </w:r>
    </w:p>
    <w:p w14:paraId="2B5A05EA" w14:textId="77777777" w:rsidR="00F9625C" w:rsidRDefault="00F9625C">
      <w:pPr>
        <w:rPr>
          <w:rFonts w:cs="Arial"/>
          <w:b/>
          <w:sz w:val="22"/>
          <w:szCs w:val="22"/>
        </w:rPr>
      </w:pPr>
      <w:r>
        <w:rPr>
          <w:rFonts w:cs="Arial"/>
          <w:b/>
          <w:sz w:val="22"/>
          <w:szCs w:val="22"/>
        </w:rPr>
        <w:br w:type="page"/>
      </w:r>
    </w:p>
    <w:p w14:paraId="2D6A2901" w14:textId="2CE369AE" w:rsidR="00F9625C" w:rsidRPr="00F9625C" w:rsidRDefault="00F9625C" w:rsidP="00F9625C">
      <w:pPr>
        <w:spacing w:after="60"/>
        <w:rPr>
          <w:rFonts w:cs="Arial"/>
          <w:sz w:val="22"/>
          <w:szCs w:val="22"/>
        </w:rPr>
      </w:pPr>
      <w:r w:rsidRPr="00F9625C">
        <w:rPr>
          <w:rFonts w:cs="Arial"/>
          <w:b/>
          <w:sz w:val="22"/>
          <w:szCs w:val="22"/>
        </w:rPr>
        <w:lastRenderedPageBreak/>
        <w:t>Gráfico 5. Comparación internacional y nacional de dimensiones predominantes</w:t>
      </w:r>
    </w:p>
    <w:p w14:paraId="5CB3D803" w14:textId="77777777" w:rsidR="00F9625C" w:rsidRPr="00F9625C" w:rsidRDefault="00F9625C" w:rsidP="00F9625C">
      <w:pPr>
        <w:jc w:val="center"/>
        <w:rPr>
          <w:rFonts w:cs="Arial"/>
          <w:sz w:val="22"/>
          <w:szCs w:val="22"/>
        </w:rPr>
      </w:pPr>
      <w:r w:rsidRPr="00F9625C">
        <w:rPr>
          <w:rFonts w:cs="Arial"/>
          <w:noProof/>
          <w:sz w:val="22"/>
          <w:szCs w:val="22"/>
          <w:lang w:eastAsia="es-PE"/>
        </w:rPr>
        <w:drawing>
          <wp:inline distT="0" distB="0" distL="0" distR="0" wp14:anchorId="3CA14F0D" wp14:editId="13626C15">
            <wp:extent cx="5760000" cy="31770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co5_comparacion.png"/>
                    <pic:cNvPicPr/>
                  </pic:nvPicPr>
                  <pic:blipFill>
                    <a:blip r:embed="rId13"/>
                    <a:stretch>
                      <a:fillRect/>
                    </a:stretch>
                  </pic:blipFill>
                  <pic:spPr>
                    <a:xfrm>
                      <a:off x="0" y="0"/>
                      <a:ext cx="5760000" cy="3177057"/>
                    </a:xfrm>
                    <a:prstGeom prst="rect">
                      <a:avLst/>
                    </a:prstGeom>
                  </pic:spPr>
                </pic:pic>
              </a:graphicData>
            </a:graphic>
          </wp:inline>
        </w:drawing>
      </w:r>
    </w:p>
    <w:p w14:paraId="7A72E452" w14:textId="77777777" w:rsidR="00F9625C" w:rsidRPr="00F9625C" w:rsidRDefault="00F9625C" w:rsidP="00F9625C">
      <w:pPr>
        <w:pStyle w:val="Ttulo1"/>
      </w:pPr>
      <w:r w:rsidRPr="00F9625C">
        <w:t>Discusión</w:t>
      </w:r>
    </w:p>
    <w:p w14:paraId="24AE19F2" w14:textId="77777777" w:rsidR="00F9625C" w:rsidRPr="00F9625C" w:rsidRDefault="00F9625C" w:rsidP="00F9625C">
      <w:pPr>
        <w:ind w:firstLine="340"/>
        <w:rPr>
          <w:rFonts w:cs="Arial"/>
          <w:sz w:val="22"/>
          <w:szCs w:val="22"/>
        </w:rPr>
      </w:pPr>
      <w:r w:rsidRPr="00F9625C">
        <w:rPr>
          <w:rFonts w:cs="Arial"/>
          <w:sz w:val="22"/>
          <w:szCs w:val="22"/>
        </w:rPr>
        <w:t>El primer hallazgo transversal es que la literatura revisada se concentra en dos problemas estrechamente vinculados: la capacidad institucional del Estado y la eficacia real del derecho. Tanto la dimensión de gobernanza, institucionalidad y fiscalización como la de eficacia normativa, justicia y jurisprudencia alcanzan una frecuencia de 75,0 %. Esta coincidencia es sustantiva: la revisión no describe la minería ilegal únicamente como ausencia de regulación, sino como un fenómeno que persiste pese a la existencia de marcos normativos, debido a debilidades de coordinación, ejecución, fiscalización, control territorial y cumplimiento de decisiones. Esta lectura aparece en los estudios ecuatorianos sobre derechos de la naturaleza y minería ilegal, y también en los trabajos peruanos sobre gestión estatal, agua, formalización, intervención policial y persecución penal (Robalino Altamirano &amp; Cárdenas Paredes, 2025; Becerra Guamán &amp; Maldonado Ruiz, 2025; Chong Albornoz, 2023; Vásquez Aching, 2025).</w:t>
      </w:r>
    </w:p>
    <w:p w14:paraId="46263201" w14:textId="77777777" w:rsidR="00F9625C" w:rsidRPr="00F9625C" w:rsidRDefault="00F9625C" w:rsidP="00F9625C">
      <w:pPr>
        <w:ind w:firstLine="340"/>
        <w:rPr>
          <w:rFonts w:cs="Arial"/>
          <w:sz w:val="22"/>
          <w:szCs w:val="22"/>
        </w:rPr>
      </w:pPr>
      <w:r w:rsidRPr="00F9625C">
        <w:rPr>
          <w:rFonts w:cs="Arial"/>
          <w:sz w:val="22"/>
          <w:szCs w:val="22"/>
        </w:rPr>
        <w:t xml:space="preserve">La minería ilegal, informal o criminal constituye la tercera dimensión más frecuente, con 62,5 %. El dato refleja que el corpus no es homogéneo: algunos trabajos se ocupan directamente del delito de minería ilegal, mientras otros analizan minería artesanal, informalización, formalización, concesiones o actividades extractivas que sirven para explicar el contexto en el que la ilegalidad se reproduce. La literatura nacional muestra una frecuencia ligeramente mayor de esta dimensión (65 %) que la internacional (60 %), coherente con el fuerte peso de los debates peruanos sobre REINFO, delimitación del riesgo permitido, intervención policial y política criminal. Abanto et al. (2025), por </w:t>
      </w:r>
      <w:r w:rsidRPr="00F9625C">
        <w:rPr>
          <w:rFonts w:cs="Arial"/>
          <w:sz w:val="22"/>
          <w:szCs w:val="22"/>
        </w:rPr>
        <w:lastRenderedPageBreak/>
        <w:t>ejemplo, plantean que las categorías de minería informal, ilegal y criminal no pueden tratarse como equivalentes, pues las respuestas públicas deben diferenciar actores, escalas y vínculos con redes delictivas.</w:t>
      </w:r>
    </w:p>
    <w:p w14:paraId="42592914" w14:textId="77777777" w:rsidR="00F9625C" w:rsidRPr="00F9625C" w:rsidRDefault="00F9625C" w:rsidP="00F9625C">
      <w:pPr>
        <w:ind w:firstLine="340"/>
        <w:rPr>
          <w:rFonts w:cs="Arial"/>
          <w:sz w:val="22"/>
          <w:szCs w:val="22"/>
        </w:rPr>
      </w:pPr>
      <w:r w:rsidRPr="00F9625C">
        <w:rPr>
          <w:rFonts w:cs="Arial"/>
          <w:sz w:val="22"/>
          <w:szCs w:val="22"/>
        </w:rPr>
        <w:t>La participación, consulta y justicia ambiental aparece en 52,5 % de las fichas, pero presenta una diferencia marcada entre la literatura internacional (75 %) y la nacional (30 %). El contraste sugiere que la discusión internacional tiende a articular la protección ecológica con legitimación procesal, consulta previa, movilización social, litigio estratégico y participación comunitaria. En cambio, una parte considerable de la producción peruana revisada se concentra en instrumentos administrativos, penales y regulatorios. Esta brecha resulta relevante porque la protección de la naturaleza frente a actividades extractivas no depende exclusivamente de órganos estatales: diversos estudios muestran que las comunidades indígenas y locales cumplen funciones de vigilancia, defensa territorial y construcción de estrategias jurídicas (Quijano Vallejos et al., 2020; Montoya et al., 2022; Flores Heredia, 2022).</w:t>
      </w:r>
    </w:p>
    <w:p w14:paraId="7189C080" w14:textId="77777777" w:rsidR="00F9625C" w:rsidRPr="00F9625C" w:rsidRDefault="00F9625C" w:rsidP="00F9625C">
      <w:pPr>
        <w:ind w:firstLine="340"/>
        <w:rPr>
          <w:rFonts w:cs="Arial"/>
          <w:sz w:val="22"/>
          <w:szCs w:val="22"/>
        </w:rPr>
      </w:pPr>
      <w:r w:rsidRPr="00F9625C">
        <w:rPr>
          <w:rFonts w:cs="Arial"/>
          <w:sz w:val="22"/>
          <w:szCs w:val="22"/>
        </w:rPr>
        <w:t xml:space="preserve">Los impactos ecológicos concretos forman otro núcleo recurrente. El agua, el mercurio y los recursos hídricos aparecen en 47,5 % de las fichas; la degradación y contaminación ambiental en 45,0 %; y la deforestación, biodiversidad y suelos en 40,0 %. Estos resultados son coherentes con la evidencia de estudios de caso y mediciones específicas. Basurto-Velásquez et al. (2024) vinculan minería ilegal y contaminación de afluentes; Díaz Rivera et al. (2025) documentan concentraciones elevadas de metales pesados en suelos de </w:t>
      </w:r>
      <w:proofErr w:type="spellStart"/>
      <w:r w:rsidRPr="00F9625C">
        <w:rPr>
          <w:rFonts w:cs="Arial"/>
          <w:sz w:val="22"/>
          <w:szCs w:val="22"/>
        </w:rPr>
        <w:t>Carabayllo</w:t>
      </w:r>
      <w:proofErr w:type="spellEnd"/>
      <w:r w:rsidRPr="00F9625C">
        <w:rPr>
          <w:rFonts w:cs="Arial"/>
          <w:sz w:val="22"/>
          <w:szCs w:val="22"/>
        </w:rPr>
        <w:t>; Velásquez Zapata (2020) sistematiza los efectos de la minería aurífera ilegal en Madre de Dios; y Martínez-Alier et al. (2023) muestran, desde una escala global, que la minería es uno de los sectores con mayor conflictividad ambiental en territorios indígenas.</w:t>
      </w:r>
    </w:p>
    <w:p w14:paraId="4CAADF57" w14:textId="77777777" w:rsidR="00F9625C" w:rsidRPr="00F9625C" w:rsidRDefault="00F9625C" w:rsidP="00F9625C">
      <w:pPr>
        <w:ind w:firstLine="340"/>
        <w:rPr>
          <w:rFonts w:cs="Arial"/>
          <w:sz w:val="22"/>
          <w:szCs w:val="22"/>
        </w:rPr>
      </w:pPr>
      <w:r w:rsidRPr="00F9625C">
        <w:rPr>
          <w:rFonts w:cs="Arial"/>
          <w:sz w:val="22"/>
          <w:szCs w:val="22"/>
        </w:rPr>
        <w:t xml:space="preserve">Sin embargo, el reconocimiento explícito de los derechos de la naturaleza o de fundamentos </w:t>
      </w:r>
      <w:proofErr w:type="spellStart"/>
      <w:r w:rsidRPr="00F9625C">
        <w:rPr>
          <w:rFonts w:cs="Arial"/>
          <w:sz w:val="22"/>
          <w:szCs w:val="22"/>
        </w:rPr>
        <w:t>ecocéntricos</w:t>
      </w:r>
      <w:proofErr w:type="spellEnd"/>
      <w:r w:rsidRPr="00F9625C">
        <w:rPr>
          <w:rFonts w:cs="Arial"/>
          <w:sz w:val="22"/>
          <w:szCs w:val="22"/>
        </w:rPr>
        <w:t xml:space="preserve"> solo aparece en 40,0 % de las fichas. Esta proporción es particularmente importante para el objetivo del artículo: aunque la totalidad del corpus fue seleccionada por su relevancia para la relación entre naturaleza y minería, menos de la mitad desarrolla expresamente a la naturaleza como sujeto de derechos o emplea un enfoque </w:t>
      </w:r>
      <w:proofErr w:type="spellStart"/>
      <w:r w:rsidRPr="00F9625C">
        <w:rPr>
          <w:rFonts w:cs="Arial"/>
          <w:sz w:val="22"/>
          <w:szCs w:val="22"/>
        </w:rPr>
        <w:t>ecocéntrico</w:t>
      </w:r>
      <w:proofErr w:type="spellEnd"/>
      <w:r w:rsidRPr="00F9625C">
        <w:rPr>
          <w:rFonts w:cs="Arial"/>
          <w:sz w:val="22"/>
          <w:szCs w:val="22"/>
        </w:rPr>
        <w:t>. La frecuencia es mayor en los estudios internacionales (55 %) que en los nacionales (25 %). Ello permite sostener que, en el Perú, la discusión académica sobre minería ilegal continúa desarrollándose predominantemente desde categorías de ambiente sano, recursos naturales, derecho penal, gestión pública y derechos humanos, mientras que el paradigma de los derechos de la naturaleza todavía ocupa una posición minoritaria.</w:t>
      </w:r>
    </w:p>
    <w:p w14:paraId="5246FBB9" w14:textId="77777777" w:rsidR="00F9625C" w:rsidRPr="00F9625C" w:rsidRDefault="00F9625C" w:rsidP="00F9625C">
      <w:pPr>
        <w:ind w:firstLine="340"/>
        <w:rPr>
          <w:rFonts w:cs="Arial"/>
          <w:sz w:val="22"/>
          <w:szCs w:val="22"/>
        </w:rPr>
      </w:pPr>
      <w:r w:rsidRPr="00F9625C">
        <w:rPr>
          <w:rFonts w:cs="Arial"/>
          <w:sz w:val="22"/>
          <w:szCs w:val="22"/>
        </w:rPr>
        <w:lastRenderedPageBreak/>
        <w:t xml:space="preserve">Esta diferencia no implica que el reconocimiento de nuevos derechos sea, por sí solo, una solución. Precisamente, uno de los consensos más sólidos del corpus internacional es que existe una brecha entre reconocimiento jurídico y eficacia material. Ecuador ofrece el ejemplo más claro: dispone de reconocimiento constitucional de los derechos de la naturaleza y de jurisprudencia relevante, pero los estudios continúan registrando minería ilegal, contaminación, afectaciones a pueblos indígenas y dificultades de ejecución. Martínez-Moscoso y Warner (2025), </w:t>
      </w:r>
      <w:proofErr w:type="spellStart"/>
      <w:r w:rsidRPr="00F9625C">
        <w:rPr>
          <w:rFonts w:cs="Arial"/>
          <w:sz w:val="22"/>
          <w:szCs w:val="22"/>
        </w:rPr>
        <w:t>Lostal</w:t>
      </w:r>
      <w:proofErr w:type="spellEnd"/>
      <w:r w:rsidRPr="00F9625C">
        <w:rPr>
          <w:rFonts w:cs="Arial"/>
          <w:sz w:val="22"/>
          <w:szCs w:val="22"/>
        </w:rPr>
        <w:t xml:space="preserve"> y Colón Ríos (2025) y Zambrano Reyna y Paz Zamora (2024) coinciden, desde distintas aproximaciones, en que los derechos de la naturaleza requieren instituciones, representación, participación, monitoreo, recursos y restauración para producir efectos materiales.</w:t>
      </w:r>
    </w:p>
    <w:p w14:paraId="0833D05C" w14:textId="77777777" w:rsidR="00F9625C" w:rsidRPr="00F9625C" w:rsidRDefault="00F9625C" w:rsidP="00F9625C">
      <w:pPr>
        <w:ind w:firstLine="340"/>
        <w:rPr>
          <w:rFonts w:cs="Arial"/>
          <w:sz w:val="22"/>
          <w:szCs w:val="22"/>
        </w:rPr>
      </w:pPr>
      <w:r w:rsidRPr="00F9625C">
        <w:rPr>
          <w:rFonts w:cs="Arial"/>
          <w:sz w:val="22"/>
          <w:szCs w:val="22"/>
        </w:rPr>
        <w:t>La dimensión de pueblos indígenas, territorio y derechos colectivos alcanza 35,0 % del total, con una diferencia especialmente marcada entre estudios internacionales (55 %) y nacionales (15 %). Esta brecha merece atención. Una parte de la literatura internacional ubica a los pueblos indígenas no solo como población afectada, sino como titulares de derechos territoriales, actores de gobernanza y defensores de ecosistemas. La jurisprudencia interamericana, los estudios amazónicos y los análisis de conflictos extractivos resaltan la relación entre territorio, identidad, subsistencia y conservación (Olivares Alanís, 2013; Quijano Vallejos et al., 2020; Barbosa et al., 2022). La menor presencia de esta dimensión en el bloque nacional sugiere la necesidad de fortalecer investigaciones peruanas que integren minería ilegal, derechos de la naturaleza y derechos colectivos en un mismo marco analítico.</w:t>
      </w:r>
    </w:p>
    <w:p w14:paraId="46CD1F54" w14:textId="77777777" w:rsidR="00F9625C" w:rsidRPr="00F9625C" w:rsidRDefault="00F9625C" w:rsidP="00F9625C">
      <w:pPr>
        <w:ind w:firstLine="340"/>
        <w:rPr>
          <w:rFonts w:cs="Arial"/>
          <w:sz w:val="22"/>
          <w:szCs w:val="22"/>
        </w:rPr>
      </w:pPr>
      <w:r w:rsidRPr="00F9625C">
        <w:rPr>
          <w:rFonts w:cs="Arial"/>
          <w:sz w:val="22"/>
          <w:szCs w:val="22"/>
        </w:rPr>
        <w:t>La reparación y restauración ecológica es la dimensión menos frecuente, con 20,0 %. El resultado revela un vacío relevante: la literatura aborda con mayor intensidad las causas, impactos, normas, sanciones y mecanismos de control que el problema de qué ocurre después del daño. Desde un enfoque de derechos de la naturaleza, esta ausencia es particularmente significativa, porque el contenido de estos derechos no debería agotarse en detener una actividad o declarar una vulneración; requiere considerar restauración de ciclos ecológicos, remediación de suelos y aguas, seguimiento de largo plazo y mecanismos de responsabilidad. El contraste internacional-nacional es también notorio: 35 % frente a 5 %.</w:t>
      </w:r>
    </w:p>
    <w:p w14:paraId="4637C56A" w14:textId="77777777" w:rsidR="00F9625C" w:rsidRPr="00F9625C" w:rsidRDefault="00F9625C" w:rsidP="00F9625C">
      <w:pPr>
        <w:ind w:firstLine="340"/>
        <w:rPr>
          <w:rFonts w:cs="Arial"/>
          <w:sz w:val="22"/>
          <w:szCs w:val="22"/>
        </w:rPr>
      </w:pPr>
      <w:r w:rsidRPr="00F9625C">
        <w:rPr>
          <w:rFonts w:cs="Arial"/>
          <w:sz w:val="22"/>
          <w:szCs w:val="22"/>
        </w:rPr>
        <w:t xml:space="preserve">En conjunto, los resultados permiten identificar una estructura de tres niveles. En el primero se encuentran los daños biofísicos: contaminación, mercurio, deforestación, biodiversidad y suelos. En el segundo aparecen los problemas jurídico-institucionales: regulación, fiscalización, justicia, formalización, persecución penal y gobernanza. En el tercero se ubican las disputas sobre el sujeto protegido y la forma de decidir: derechos </w:t>
      </w:r>
      <w:r w:rsidRPr="00F9625C">
        <w:rPr>
          <w:rFonts w:cs="Arial"/>
          <w:sz w:val="22"/>
          <w:szCs w:val="22"/>
        </w:rPr>
        <w:lastRenderedPageBreak/>
        <w:t>de la naturaleza, pueblos indígenas, participación, territorio y justicia ambiental. Una política o teoría jurídica que actúe solo sobre uno de estos niveles resulta insuficiente para explicar la persistencia de la minería ilegal y su afectación ecológica.</w:t>
      </w:r>
    </w:p>
    <w:p w14:paraId="649D3C90" w14:textId="77777777" w:rsidR="00F9625C" w:rsidRDefault="00F9625C" w:rsidP="00F9625C">
      <w:pPr>
        <w:ind w:firstLine="340"/>
        <w:rPr>
          <w:rFonts w:cs="Arial"/>
          <w:sz w:val="22"/>
          <w:szCs w:val="22"/>
        </w:rPr>
      </w:pPr>
      <w:r w:rsidRPr="00F9625C">
        <w:rPr>
          <w:rFonts w:cs="Arial"/>
          <w:sz w:val="22"/>
          <w:szCs w:val="22"/>
        </w:rPr>
        <w:t>Finalmente, el control de calidad de la base permite formular una cautela metodológica. La existencia de una referencia duplicada y la heterogeneidad temporal —2013 a 2025— muestran la importancia de depurar las matrices antes de convertirlas en una revisión sistemática publicable. No obstante, el análisis de sensibilidad con 39 publicaciones únicas mantuvo el orden de las dimensiones principales: gobernanza y eficacia normativa continúan en primer lugar, seguidas por minería ilegal y participación. Por ello, la duplicación no altera la interpretación sustantiva, aunque sí debe transparentarse en cualquier versión sometida a evaluación editorial.</w:t>
      </w:r>
    </w:p>
    <w:p w14:paraId="1077FC89" w14:textId="77777777" w:rsidR="00F9625C" w:rsidRPr="00F9625C" w:rsidRDefault="00F9625C" w:rsidP="00F9625C">
      <w:pPr>
        <w:ind w:firstLine="340"/>
        <w:rPr>
          <w:rFonts w:cs="Arial"/>
          <w:sz w:val="22"/>
          <w:szCs w:val="22"/>
        </w:rPr>
      </w:pPr>
    </w:p>
    <w:p w14:paraId="7F293DF8" w14:textId="77777777" w:rsidR="00F9625C" w:rsidRPr="00F9625C" w:rsidRDefault="00F9625C" w:rsidP="00F9625C">
      <w:pPr>
        <w:pStyle w:val="Ttulo1"/>
      </w:pPr>
      <w:r w:rsidRPr="00F9625C">
        <w:t>Conclusiones</w:t>
      </w:r>
    </w:p>
    <w:p w14:paraId="6C3B553E" w14:textId="3FDD4418"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La revisión de las 40 fichas documentales permite concluir que el núcleo del problema estudiado no es únicamente normativo. Las dimensiones de gobernanza, institucionalidad y fiscalización, y de eficacia normativa, justicia y jurisprudencia alcanzan cada una 75,0 %, lo que evidencia que la literatura identifica una brecha persistente entre reglas formales y protección efectiva.</w:t>
      </w:r>
    </w:p>
    <w:p w14:paraId="3B4218FF" w14:textId="7597E274"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La minería ilegal, informal o criminal aparece en 62,5 % de las fichas. La literatura nacional presenta un énfasis ligeramente mayor en esta dimensión y desarrolla con especial atención formalización, REINFO, política criminal, intervención policial, gestión estatal y diferenciación entre minería informal, ilegal y criminal.</w:t>
      </w:r>
    </w:p>
    <w:p w14:paraId="71C5B0A5" w14:textId="2F546040"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La dimensión de participación, consulta y justicia ambiental alcanza 52,5 %, pero existe una diferencia importante entre la literatura internacional y la nacional. Los estudios internacionales incorporan con mayor frecuencia participación indígena, litigio estratégico, consulta y movilización social.</w:t>
      </w:r>
    </w:p>
    <w:p w14:paraId="4816AB1E" w14:textId="69AAEAEC"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Los impactos sobre agua, mercurio y recursos hídricos (47,5 %), degradación y contaminación ambiental (45,0 %) y deforestación, biodiversidad y suelos (40,0 %) confirman que la minería ilegal debe analizarse como una afectación sistémica de ecosistemas y no como una suma de daños aislados.</w:t>
      </w:r>
    </w:p>
    <w:p w14:paraId="28AF7D6F" w14:textId="0663AEDF"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 xml:space="preserve">El reconocimiento de los derechos de la naturaleza o de enfoques </w:t>
      </w:r>
      <w:proofErr w:type="spellStart"/>
      <w:r w:rsidRPr="00F9625C">
        <w:rPr>
          <w:rFonts w:cs="Arial"/>
          <w:sz w:val="22"/>
          <w:szCs w:val="22"/>
        </w:rPr>
        <w:t>ecocéntricos</w:t>
      </w:r>
      <w:proofErr w:type="spellEnd"/>
      <w:r w:rsidRPr="00F9625C">
        <w:rPr>
          <w:rFonts w:cs="Arial"/>
          <w:sz w:val="22"/>
          <w:szCs w:val="22"/>
        </w:rPr>
        <w:t xml:space="preserve"> aparece en 40,0 % de las fichas, con mayor presencia internacional que nacional. En el Perú, el paradigma sigue siendo minoritario frente a enfoques tradicionales de ambiente sano, gestión de recursos, derecho penal y regulación minera.</w:t>
      </w:r>
    </w:p>
    <w:p w14:paraId="6F6BD580" w14:textId="0B810AF9"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lastRenderedPageBreak/>
        <w:t>La experiencia comparada demuestra que reconocer a la naturaleza como sujeto de derechos no garantiza, por sí mismo, la conservación de ecosistemas ni la erradicación de la minería ilegal. La efectividad depende de instituciones, legitimación procesal, recursos, fiscalización, participación, control territorial y cumplimiento de decisiones.</w:t>
      </w:r>
    </w:p>
    <w:p w14:paraId="16EA88F6" w14:textId="0C354AFD"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Los pueblos indígenas, territorio y derechos colectivos aparecen en 35,0 % del corpus, con una presencia mucho mayor en la literatura internacional. Este resultado identifica un vacío en la producción peruana y justifica desarrollar investigaciones que articulen minería ilegal, derechos de la naturaleza y derechos colectivos.</w:t>
      </w:r>
    </w:p>
    <w:p w14:paraId="3E9509C7" w14:textId="71778EC4"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La reparación y restauración ecológica es la dimensión menos desarrollada, con 20,0 %. Las futuras investigaciones deberían profundizar en obligaciones de restauración, remediación, seguimiento ecológico y responsabilidad por daños, especialmente en cuerpos de agua, bosques y suelos afectados por minería aurífera.</w:t>
      </w:r>
    </w:p>
    <w:p w14:paraId="76A4EAE9" w14:textId="70D0AF3F" w:rsidR="00F9625C" w:rsidRPr="00F9625C" w:rsidRDefault="00F9625C" w:rsidP="00F9625C">
      <w:pPr>
        <w:pStyle w:val="Prrafodelista"/>
        <w:numPr>
          <w:ilvl w:val="0"/>
          <w:numId w:val="14"/>
        </w:numPr>
        <w:spacing w:after="80"/>
        <w:rPr>
          <w:rFonts w:cs="Arial"/>
          <w:sz w:val="22"/>
          <w:szCs w:val="22"/>
        </w:rPr>
      </w:pPr>
      <w:r w:rsidRPr="00F9625C">
        <w:rPr>
          <w:rFonts w:cs="Arial"/>
          <w:sz w:val="22"/>
          <w:szCs w:val="22"/>
        </w:rPr>
        <w:t>La revisión confirma la utilidad de combinar análisis documental y estadística descriptiva para construir una línea de base temática. No obstante, antes de una publicación definitiva debe mantenerse la depuración de duplicados, normalización bibliográfica y definición explícita de criterios de inclusión y exclusión.</w:t>
      </w:r>
    </w:p>
    <w:p w14:paraId="7B9E15F7" w14:textId="77777777" w:rsidR="00F9625C" w:rsidRDefault="00F9625C" w:rsidP="00F9625C">
      <w:pPr>
        <w:pStyle w:val="Ttulo1"/>
      </w:pPr>
    </w:p>
    <w:p w14:paraId="2FD4E1C2" w14:textId="2EF4AD03" w:rsidR="00F9625C" w:rsidRPr="00F9625C" w:rsidRDefault="00F9625C" w:rsidP="00F9625C">
      <w:pPr>
        <w:pStyle w:val="Ttulo1"/>
      </w:pPr>
      <w:r w:rsidRPr="00F9625C">
        <w:t>Recomendación</w:t>
      </w:r>
    </w:p>
    <w:p w14:paraId="58FCF01A" w14:textId="77777777" w:rsidR="00F9625C" w:rsidRDefault="00F9625C" w:rsidP="00F9625C">
      <w:pPr>
        <w:rPr>
          <w:rFonts w:cs="Arial"/>
          <w:sz w:val="22"/>
          <w:szCs w:val="22"/>
        </w:rPr>
      </w:pPr>
    </w:p>
    <w:p w14:paraId="14E5A5B9" w14:textId="7ABDA8AD" w:rsidR="00F9625C" w:rsidRPr="00F9625C" w:rsidRDefault="00F9625C" w:rsidP="00F9625C">
      <w:pPr>
        <w:rPr>
          <w:rFonts w:cs="Arial"/>
          <w:sz w:val="22"/>
          <w:szCs w:val="22"/>
        </w:rPr>
      </w:pPr>
      <w:r w:rsidRPr="00F9625C">
        <w:rPr>
          <w:rFonts w:cs="Arial"/>
          <w:sz w:val="22"/>
          <w:szCs w:val="22"/>
        </w:rPr>
        <w:t>Se recomienda que la siguiente etapa de investigación construya indicadores verificables a partir de las dimensiones identificadas, priorizando aquellas que muestran simultáneamente alta frecuencia y déficit de efectividad: capacidad institucional, fiscalización, eficacia de decisiones, contaminación hídrica, participación comunitaria y restauración ecológica. Para el caso peruano, resulta especialmente pertinente desarrollar estudios empíricos en territorios afectados por minería ilegal que permitan evaluar si la incorporación de un enfoque de derechos de la naturaleza añade herramientas concretas de prevención, legitimación procesal, restauración y gobernanza frente a las categorías ambientales tradicionales.</w:t>
      </w:r>
    </w:p>
    <w:p w14:paraId="4913604E" w14:textId="77777777" w:rsidR="00F9625C" w:rsidRPr="00F9625C" w:rsidRDefault="00F9625C" w:rsidP="00F9625C">
      <w:pPr>
        <w:pStyle w:val="Ttulo1"/>
      </w:pPr>
      <w:r w:rsidRPr="00F9625C">
        <w:t>Referencias bibliográficas</w:t>
      </w:r>
    </w:p>
    <w:p w14:paraId="07626FB9" w14:textId="77777777" w:rsidR="00F9625C" w:rsidRPr="00F9625C" w:rsidRDefault="00F9625C" w:rsidP="00F9625C">
      <w:pPr>
        <w:spacing w:after="60"/>
        <w:ind w:left="397" w:hanging="397"/>
        <w:rPr>
          <w:rFonts w:cs="Arial"/>
          <w:sz w:val="22"/>
          <w:szCs w:val="22"/>
        </w:rPr>
      </w:pPr>
      <w:r w:rsidRPr="00F9625C">
        <w:rPr>
          <w:rFonts w:cs="Arial"/>
          <w:sz w:val="22"/>
          <w:szCs w:val="22"/>
        </w:rPr>
        <w:t>Abanto, A., Santos, A., &amp; Vilca, P. (2025). La minería ilegal en Perú: un desafío para el ambiente y la democracia. Nueva Sociedad, (319), 90-104.</w:t>
      </w:r>
    </w:p>
    <w:p w14:paraId="6664C873" w14:textId="77777777" w:rsidR="00F9625C" w:rsidRPr="00F9625C" w:rsidRDefault="00F9625C" w:rsidP="00F9625C">
      <w:pPr>
        <w:spacing w:after="60"/>
        <w:ind w:left="397" w:hanging="397"/>
        <w:rPr>
          <w:rFonts w:cs="Arial"/>
          <w:sz w:val="22"/>
          <w:szCs w:val="22"/>
        </w:rPr>
      </w:pPr>
      <w:r w:rsidRPr="00F9625C">
        <w:rPr>
          <w:rFonts w:cs="Arial"/>
          <w:sz w:val="22"/>
          <w:szCs w:val="22"/>
        </w:rPr>
        <w:lastRenderedPageBreak/>
        <w:t xml:space="preserve">Barbosa, G. D., Fernández-Llamazares, Á., </w:t>
      </w:r>
      <w:proofErr w:type="spellStart"/>
      <w:r w:rsidRPr="00F9625C">
        <w:rPr>
          <w:rFonts w:cs="Arial"/>
          <w:sz w:val="22"/>
          <w:szCs w:val="22"/>
        </w:rPr>
        <w:t>Hanazaki</w:t>
      </w:r>
      <w:proofErr w:type="spellEnd"/>
      <w:r w:rsidRPr="00F9625C">
        <w:rPr>
          <w:rFonts w:cs="Arial"/>
          <w:sz w:val="22"/>
          <w:szCs w:val="22"/>
        </w:rPr>
        <w:t xml:space="preserve">, N., et al. (2022). The </w:t>
      </w:r>
      <w:proofErr w:type="spellStart"/>
      <w:r w:rsidRPr="00F9625C">
        <w:rPr>
          <w:rFonts w:cs="Arial"/>
          <w:sz w:val="22"/>
          <w:szCs w:val="22"/>
        </w:rPr>
        <w:t>Impacts</w:t>
      </w:r>
      <w:proofErr w:type="spellEnd"/>
      <w:r w:rsidRPr="00F9625C">
        <w:rPr>
          <w:rFonts w:cs="Arial"/>
          <w:sz w:val="22"/>
          <w:szCs w:val="22"/>
        </w:rPr>
        <w:t xml:space="preserve"> of </w:t>
      </w:r>
      <w:proofErr w:type="spellStart"/>
      <w:r w:rsidRPr="00F9625C">
        <w:rPr>
          <w:rFonts w:cs="Arial"/>
          <w:sz w:val="22"/>
          <w:szCs w:val="22"/>
        </w:rPr>
        <w:t>Mining</w:t>
      </w:r>
      <w:proofErr w:type="spellEnd"/>
      <w:r w:rsidRPr="00F9625C">
        <w:rPr>
          <w:rFonts w:cs="Arial"/>
          <w:sz w:val="22"/>
          <w:szCs w:val="22"/>
        </w:rPr>
        <w:t xml:space="preserve"> on the </w:t>
      </w:r>
      <w:proofErr w:type="spellStart"/>
      <w:r w:rsidRPr="00F9625C">
        <w:rPr>
          <w:rFonts w:cs="Arial"/>
          <w:sz w:val="22"/>
          <w:szCs w:val="22"/>
        </w:rPr>
        <w:t>Food</w:t>
      </w:r>
      <w:proofErr w:type="spellEnd"/>
      <w:r w:rsidRPr="00F9625C">
        <w:rPr>
          <w:rFonts w:cs="Arial"/>
          <w:sz w:val="22"/>
          <w:szCs w:val="22"/>
        </w:rPr>
        <w:t xml:space="preserve"> </w:t>
      </w:r>
      <w:proofErr w:type="spellStart"/>
      <w:r w:rsidRPr="00F9625C">
        <w:rPr>
          <w:rFonts w:cs="Arial"/>
          <w:sz w:val="22"/>
          <w:szCs w:val="22"/>
        </w:rPr>
        <w:t>Sovereignty</w:t>
      </w:r>
      <w:proofErr w:type="spellEnd"/>
      <w:r w:rsidRPr="00F9625C">
        <w:rPr>
          <w:rFonts w:cs="Arial"/>
          <w:sz w:val="22"/>
          <w:szCs w:val="22"/>
        </w:rPr>
        <w:t xml:space="preserve"> and Security of </w:t>
      </w:r>
      <w:proofErr w:type="spellStart"/>
      <w:r w:rsidRPr="00F9625C">
        <w:rPr>
          <w:rFonts w:cs="Arial"/>
          <w:sz w:val="22"/>
          <w:szCs w:val="22"/>
        </w:rPr>
        <w:t>Indigenous</w:t>
      </w:r>
      <w:proofErr w:type="spellEnd"/>
      <w:r w:rsidRPr="00F9625C">
        <w:rPr>
          <w:rFonts w:cs="Arial"/>
          <w:sz w:val="22"/>
          <w:szCs w:val="22"/>
        </w:rPr>
        <w:t xml:space="preserve"> </w:t>
      </w:r>
      <w:proofErr w:type="spellStart"/>
      <w:r w:rsidRPr="00F9625C">
        <w:rPr>
          <w:rFonts w:cs="Arial"/>
          <w:sz w:val="22"/>
          <w:szCs w:val="22"/>
        </w:rPr>
        <w:t>Peoples</w:t>
      </w:r>
      <w:proofErr w:type="spellEnd"/>
      <w:r w:rsidRPr="00F9625C">
        <w:rPr>
          <w:rFonts w:cs="Arial"/>
          <w:sz w:val="22"/>
          <w:szCs w:val="22"/>
        </w:rPr>
        <w:t xml:space="preserve"> and Local </w:t>
      </w:r>
      <w:proofErr w:type="spellStart"/>
      <w:r w:rsidRPr="00F9625C">
        <w:rPr>
          <w:rFonts w:cs="Arial"/>
          <w:sz w:val="22"/>
          <w:szCs w:val="22"/>
        </w:rPr>
        <w:t>Communities</w:t>
      </w:r>
      <w:proofErr w:type="spellEnd"/>
      <w:r w:rsidRPr="00F9625C">
        <w:rPr>
          <w:rFonts w:cs="Arial"/>
          <w:sz w:val="22"/>
          <w:szCs w:val="22"/>
        </w:rPr>
        <w:t xml:space="preserve">. </w:t>
      </w:r>
      <w:proofErr w:type="spellStart"/>
      <w:r w:rsidRPr="00F9625C">
        <w:rPr>
          <w:rFonts w:cs="Arial"/>
          <w:sz w:val="22"/>
          <w:szCs w:val="22"/>
        </w:rPr>
        <w:t>Science</w:t>
      </w:r>
      <w:proofErr w:type="spellEnd"/>
      <w:r w:rsidRPr="00F9625C">
        <w:rPr>
          <w:rFonts w:cs="Arial"/>
          <w:sz w:val="22"/>
          <w:szCs w:val="22"/>
        </w:rPr>
        <w:t xml:space="preserve"> of the Total </w:t>
      </w:r>
      <w:proofErr w:type="spellStart"/>
      <w:r w:rsidRPr="00F9625C">
        <w:rPr>
          <w:rFonts w:cs="Arial"/>
          <w:sz w:val="22"/>
          <w:szCs w:val="22"/>
        </w:rPr>
        <w:t>Environment</w:t>
      </w:r>
      <w:proofErr w:type="spellEnd"/>
      <w:r w:rsidRPr="00F9625C">
        <w:rPr>
          <w:rFonts w:cs="Arial"/>
          <w:sz w:val="22"/>
          <w:szCs w:val="22"/>
        </w:rPr>
        <w:t>.</w:t>
      </w:r>
    </w:p>
    <w:p w14:paraId="436ABF1D"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Basurto-Velásquez, A. A., Congo-Cervantes, K. A., Álvarez-Sánchez, W. V., &amp; Ros-Álvarez, D. (2024). Contaminación de las afluentes del Río San Antonio a causa de la minería ilegal, Ecuador. </w:t>
      </w:r>
      <w:proofErr w:type="spellStart"/>
      <w:r w:rsidRPr="00F9625C">
        <w:rPr>
          <w:rFonts w:cs="Arial"/>
          <w:sz w:val="22"/>
          <w:szCs w:val="22"/>
        </w:rPr>
        <w:t>Iustitia</w:t>
      </w:r>
      <w:proofErr w:type="spellEnd"/>
      <w:r w:rsidRPr="00F9625C">
        <w:rPr>
          <w:rFonts w:cs="Arial"/>
          <w:sz w:val="22"/>
          <w:szCs w:val="22"/>
        </w:rPr>
        <w:t xml:space="preserve"> </w:t>
      </w:r>
      <w:proofErr w:type="spellStart"/>
      <w:r w:rsidRPr="00F9625C">
        <w:rPr>
          <w:rFonts w:cs="Arial"/>
          <w:sz w:val="22"/>
          <w:szCs w:val="22"/>
        </w:rPr>
        <w:t>Socialis</w:t>
      </w:r>
      <w:proofErr w:type="spellEnd"/>
      <w:r w:rsidRPr="00F9625C">
        <w:rPr>
          <w:rFonts w:cs="Arial"/>
          <w:sz w:val="22"/>
          <w:szCs w:val="22"/>
        </w:rPr>
        <w:t>. Revista Arbitrada de Ciencias Jurídicas, 9(1), Edición Especial, 485–497. https://doi.org/10.35381/racji.v9i1.3644</w:t>
      </w:r>
    </w:p>
    <w:p w14:paraId="7132A57B" w14:textId="77777777" w:rsidR="00F9625C" w:rsidRPr="00F9625C" w:rsidRDefault="00F9625C" w:rsidP="00F9625C">
      <w:pPr>
        <w:spacing w:after="60"/>
        <w:ind w:left="397" w:hanging="397"/>
        <w:rPr>
          <w:rFonts w:cs="Arial"/>
          <w:sz w:val="22"/>
          <w:szCs w:val="22"/>
        </w:rPr>
      </w:pPr>
      <w:r w:rsidRPr="00F9625C">
        <w:rPr>
          <w:rFonts w:cs="Arial"/>
          <w:sz w:val="22"/>
          <w:szCs w:val="22"/>
        </w:rPr>
        <w:t>Becerra Guamán, P. R., &amp; Maldonado Ruiz, L. M. (2025). Impacto jurídico-ambiental de la minería ilegal en la Amazonia ecuatoriana: análisis normativo y jurisprudencial. ASCE Magazine, 4(3), 1669–1690. https://doi.org/10.70577/ASCE/1669.1690/2025</w:t>
      </w:r>
    </w:p>
    <w:p w14:paraId="3F0359BE"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Benites, G. V. (2023). </w:t>
      </w:r>
      <w:proofErr w:type="spellStart"/>
      <w:r w:rsidRPr="00F9625C">
        <w:rPr>
          <w:rFonts w:cs="Arial"/>
          <w:sz w:val="22"/>
          <w:szCs w:val="22"/>
        </w:rPr>
        <w:t>Natures</w:t>
      </w:r>
      <w:proofErr w:type="spellEnd"/>
      <w:r w:rsidRPr="00F9625C">
        <w:rPr>
          <w:rFonts w:cs="Arial"/>
          <w:sz w:val="22"/>
          <w:szCs w:val="22"/>
        </w:rPr>
        <w:t xml:space="preserve"> of </w:t>
      </w:r>
      <w:proofErr w:type="spellStart"/>
      <w:r w:rsidRPr="00F9625C">
        <w:rPr>
          <w:rFonts w:cs="Arial"/>
          <w:sz w:val="22"/>
          <w:szCs w:val="22"/>
        </w:rPr>
        <w:t>concern</w:t>
      </w:r>
      <w:proofErr w:type="spellEnd"/>
      <w:r w:rsidRPr="00F9625C">
        <w:rPr>
          <w:rFonts w:cs="Arial"/>
          <w:sz w:val="22"/>
          <w:szCs w:val="22"/>
        </w:rPr>
        <w:t xml:space="preserve">: </w:t>
      </w:r>
      <w:proofErr w:type="spellStart"/>
      <w:r w:rsidRPr="00F9625C">
        <w:rPr>
          <w:rFonts w:cs="Arial"/>
          <w:sz w:val="22"/>
          <w:szCs w:val="22"/>
        </w:rPr>
        <w:t>Criminalizing</w:t>
      </w:r>
      <w:proofErr w:type="spellEnd"/>
      <w:r w:rsidRPr="00F9625C">
        <w:rPr>
          <w:rFonts w:cs="Arial"/>
          <w:sz w:val="22"/>
          <w:szCs w:val="22"/>
        </w:rPr>
        <w:t xml:space="preserve"> </w:t>
      </w:r>
      <w:proofErr w:type="spellStart"/>
      <w:r w:rsidRPr="00F9625C">
        <w:rPr>
          <w:rFonts w:cs="Arial"/>
          <w:sz w:val="22"/>
          <w:szCs w:val="22"/>
        </w:rPr>
        <w:t>artisanal</w:t>
      </w:r>
      <w:proofErr w:type="spellEnd"/>
      <w:r w:rsidRPr="00F9625C">
        <w:rPr>
          <w:rFonts w:cs="Arial"/>
          <w:sz w:val="22"/>
          <w:szCs w:val="22"/>
        </w:rPr>
        <w:t xml:space="preserve"> and </w:t>
      </w:r>
      <w:proofErr w:type="spellStart"/>
      <w:r w:rsidRPr="00F9625C">
        <w:rPr>
          <w:rFonts w:cs="Arial"/>
          <w:sz w:val="22"/>
          <w:szCs w:val="22"/>
        </w:rPr>
        <w:t>small-scale</w:t>
      </w:r>
      <w:proofErr w:type="spellEnd"/>
      <w:r w:rsidRPr="00F9625C">
        <w:rPr>
          <w:rFonts w:cs="Arial"/>
          <w:sz w:val="22"/>
          <w:szCs w:val="22"/>
        </w:rPr>
        <w:t xml:space="preserve"> </w:t>
      </w:r>
      <w:proofErr w:type="spellStart"/>
      <w:r w:rsidRPr="00F9625C">
        <w:rPr>
          <w:rFonts w:cs="Arial"/>
          <w:sz w:val="22"/>
          <w:szCs w:val="22"/>
        </w:rPr>
        <w:t>mining</w:t>
      </w:r>
      <w:proofErr w:type="spellEnd"/>
      <w:r w:rsidRPr="00F9625C">
        <w:rPr>
          <w:rFonts w:cs="Arial"/>
          <w:sz w:val="22"/>
          <w:szCs w:val="22"/>
        </w:rPr>
        <w:t xml:space="preserve"> in Colombia and Peru. The </w:t>
      </w:r>
      <w:proofErr w:type="spellStart"/>
      <w:r w:rsidRPr="00F9625C">
        <w:rPr>
          <w:rFonts w:cs="Arial"/>
          <w:sz w:val="22"/>
          <w:szCs w:val="22"/>
        </w:rPr>
        <w:t>Extractive</w:t>
      </w:r>
      <w:proofErr w:type="spellEnd"/>
      <w:r w:rsidRPr="00F9625C">
        <w:rPr>
          <w:rFonts w:cs="Arial"/>
          <w:sz w:val="22"/>
          <w:szCs w:val="22"/>
        </w:rPr>
        <w:t xml:space="preserve"> Industries and </w:t>
      </w:r>
      <w:proofErr w:type="spellStart"/>
      <w:r w:rsidRPr="00F9625C">
        <w:rPr>
          <w:rFonts w:cs="Arial"/>
          <w:sz w:val="22"/>
          <w:szCs w:val="22"/>
        </w:rPr>
        <w:t>Society</w:t>
      </w:r>
      <w:proofErr w:type="spellEnd"/>
      <w:r w:rsidRPr="00F9625C">
        <w:rPr>
          <w:rFonts w:cs="Arial"/>
          <w:sz w:val="22"/>
          <w:szCs w:val="22"/>
        </w:rPr>
        <w:t>, 13, 101105. https://doi.org/10.1016/j.exis.2022.101105</w:t>
      </w:r>
    </w:p>
    <w:p w14:paraId="7E96A3D0" w14:textId="77777777" w:rsidR="00F9625C" w:rsidRPr="00F9625C" w:rsidRDefault="00F9625C" w:rsidP="00F9625C">
      <w:pPr>
        <w:spacing w:after="60"/>
        <w:ind w:left="397" w:hanging="397"/>
        <w:rPr>
          <w:rFonts w:cs="Arial"/>
          <w:sz w:val="22"/>
          <w:szCs w:val="22"/>
        </w:rPr>
      </w:pPr>
      <w:proofErr w:type="spellStart"/>
      <w:r w:rsidRPr="00F9625C">
        <w:rPr>
          <w:rFonts w:cs="Arial"/>
          <w:sz w:val="22"/>
          <w:szCs w:val="22"/>
        </w:rPr>
        <w:t>Calapucha</w:t>
      </w:r>
      <w:proofErr w:type="spellEnd"/>
      <w:r w:rsidRPr="00F9625C">
        <w:rPr>
          <w:rFonts w:cs="Arial"/>
          <w:sz w:val="22"/>
          <w:szCs w:val="22"/>
        </w:rPr>
        <w:t xml:space="preserve"> </w:t>
      </w:r>
      <w:proofErr w:type="spellStart"/>
      <w:r w:rsidRPr="00F9625C">
        <w:rPr>
          <w:rFonts w:cs="Arial"/>
          <w:sz w:val="22"/>
          <w:szCs w:val="22"/>
        </w:rPr>
        <w:t>Tanguila</w:t>
      </w:r>
      <w:proofErr w:type="spellEnd"/>
      <w:r w:rsidRPr="00F9625C">
        <w:rPr>
          <w:rFonts w:cs="Arial"/>
          <w:sz w:val="22"/>
          <w:szCs w:val="22"/>
        </w:rPr>
        <w:t xml:space="preserve">, K. D., &amp; </w:t>
      </w:r>
      <w:proofErr w:type="spellStart"/>
      <w:r w:rsidRPr="00F9625C">
        <w:rPr>
          <w:rFonts w:cs="Arial"/>
          <w:sz w:val="22"/>
          <w:szCs w:val="22"/>
        </w:rPr>
        <w:t>Ushca</w:t>
      </w:r>
      <w:proofErr w:type="spellEnd"/>
      <w:r w:rsidRPr="00F9625C">
        <w:rPr>
          <w:rFonts w:cs="Arial"/>
          <w:sz w:val="22"/>
          <w:szCs w:val="22"/>
        </w:rPr>
        <w:t xml:space="preserve"> </w:t>
      </w:r>
      <w:proofErr w:type="spellStart"/>
      <w:r w:rsidRPr="00F9625C">
        <w:rPr>
          <w:rFonts w:cs="Arial"/>
          <w:sz w:val="22"/>
          <w:szCs w:val="22"/>
        </w:rPr>
        <w:t>Ushca</w:t>
      </w:r>
      <w:proofErr w:type="spellEnd"/>
      <w:r w:rsidRPr="00F9625C">
        <w:rPr>
          <w:rFonts w:cs="Arial"/>
          <w:sz w:val="22"/>
          <w:szCs w:val="22"/>
        </w:rPr>
        <w:t>, M. A. (2025). La protección constitucional de los derechos colectivos frente a actividades extractivistas ilegales en tierras ancestrales (Trabajo de titulación). Universidad Nacional de Chimborazo, Ecuador.</w:t>
      </w:r>
    </w:p>
    <w:p w14:paraId="741761F0" w14:textId="77777777" w:rsidR="00F9625C" w:rsidRPr="00F9625C" w:rsidRDefault="00F9625C" w:rsidP="00F9625C">
      <w:pPr>
        <w:spacing w:after="60"/>
        <w:ind w:left="397" w:hanging="397"/>
        <w:rPr>
          <w:rFonts w:cs="Arial"/>
          <w:sz w:val="22"/>
          <w:szCs w:val="22"/>
        </w:rPr>
      </w:pPr>
      <w:r w:rsidRPr="00F9625C">
        <w:rPr>
          <w:rFonts w:cs="Arial"/>
          <w:sz w:val="22"/>
          <w:szCs w:val="22"/>
        </w:rPr>
        <w:t>Chong Albornoz, M. G. (2023). Gestión del Estado peruano frente a la minería ilegal, 2023 [Tesis de pregrado, Universidad Autónoma de Ica].</w:t>
      </w:r>
    </w:p>
    <w:p w14:paraId="40152C4C"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Chávez, G. (2020). Los derechos de la naturaleza: un paso adelante, tres atrás. </w:t>
      </w:r>
      <w:proofErr w:type="spellStart"/>
      <w:r w:rsidRPr="00F9625C">
        <w:rPr>
          <w:rFonts w:cs="Arial"/>
          <w:sz w:val="22"/>
          <w:szCs w:val="22"/>
        </w:rPr>
        <w:t>Espaço</w:t>
      </w:r>
      <w:proofErr w:type="spellEnd"/>
      <w:r w:rsidRPr="00F9625C">
        <w:rPr>
          <w:rFonts w:cs="Arial"/>
          <w:sz w:val="22"/>
          <w:szCs w:val="22"/>
        </w:rPr>
        <w:t xml:space="preserve"> Jurídico, 21(2), 375-388. https://doi.org/10.18593/ejjl.23954</w:t>
      </w:r>
    </w:p>
    <w:p w14:paraId="0751400C" w14:textId="77777777" w:rsidR="00F9625C" w:rsidRPr="00F9625C" w:rsidRDefault="00F9625C" w:rsidP="00F9625C">
      <w:pPr>
        <w:spacing w:after="60"/>
        <w:ind w:left="397" w:hanging="397"/>
        <w:rPr>
          <w:rFonts w:cs="Arial"/>
          <w:sz w:val="22"/>
          <w:szCs w:val="22"/>
        </w:rPr>
      </w:pPr>
      <w:r w:rsidRPr="00F9625C">
        <w:rPr>
          <w:rFonts w:cs="Arial"/>
          <w:sz w:val="22"/>
          <w:szCs w:val="22"/>
        </w:rPr>
        <w:t>Cruzado Portugal, L. S. (2022). Análisis de la idoneidad del reconocimiento de derechos a la naturaleza en el ordenamiento peruano como medida para la protección efectiva del medio ambiente, en los términos planteados por los Proyectos Legislativos N.° 06957/2020-CR y N.° 08097/2020-CR (Trabajo de investigación para optar el grado de Bachiller en Derecho). Pontificia Universidad Católica del Perú.</w:t>
      </w:r>
    </w:p>
    <w:p w14:paraId="5312B711"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Cumbe-Figueroa, A., &amp; Vargas-Chaves, I. (2023). Los derechos de la naturaleza en Colombia, Ecuador y Bolivia: De la gramática constitucional y los procesos de reconocimiento, a una nueva interpretación. Revista Catalana de </w:t>
      </w:r>
      <w:proofErr w:type="spellStart"/>
      <w:r w:rsidRPr="00F9625C">
        <w:rPr>
          <w:rFonts w:cs="Arial"/>
          <w:sz w:val="22"/>
          <w:szCs w:val="22"/>
        </w:rPr>
        <w:t>Dret</w:t>
      </w:r>
      <w:proofErr w:type="spellEnd"/>
      <w:r w:rsidRPr="00F9625C">
        <w:rPr>
          <w:rFonts w:cs="Arial"/>
          <w:sz w:val="22"/>
          <w:szCs w:val="22"/>
        </w:rPr>
        <w:t xml:space="preserve"> Ambiental, 14(1), 1–45. https://doi.org/10.17345/rcda3571</w:t>
      </w:r>
    </w:p>
    <w:p w14:paraId="1005F58C" w14:textId="77777777" w:rsidR="00F9625C" w:rsidRPr="00F9625C" w:rsidRDefault="00F9625C" w:rsidP="00F9625C">
      <w:pPr>
        <w:spacing w:after="60"/>
        <w:ind w:left="397" w:hanging="397"/>
        <w:rPr>
          <w:rFonts w:cs="Arial"/>
          <w:sz w:val="22"/>
          <w:szCs w:val="22"/>
        </w:rPr>
      </w:pPr>
      <w:r w:rsidRPr="00F9625C">
        <w:rPr>
          <w:rFonts w:cs="Arial"/>
          <w:sz w:val="22"/>
          <w:szCs w:val="22"/>
        </w:rPr>
        <w:t>Cáceres Gregorio, M. N. (2025). La actividad minera en el Perú: entre el riesgo permitido y el delito de minería ilegal. Justicia Ambiental, 5(8), 17–70.</w:t>
      </w:r>
    </w:p>
    <w:p w14:paraId="4FA9C4B0"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Dueñas Quiñones, C. N. (2020). Derechos de la naturaleza: una aproximación a la noción de cuerpos hídricos como sujetos de derecho [Trabajo académico para optar el título de Segunda Especialidad en Derecho Ambiental y de los Recursos </w:t>
      </w:r>
      <w:r w:rsidRPr="00F9625C">
        <w:rPr>
          <w:rFonts w:cs="Arial"/>
          <w:sz w:val="22"/>
          <w:szCs w:val="22"/>
        </w:rPr>
        <w:lastRenderedPageBreak/>
        <w:t>Naturales, Pontificia Universidad Católica del Perú]. Repositorio Institucional de la Pontificia Universidad Católica del Perú. http://hdl.handle.net/20.500.12404/19209</w:t>
      </w:r>
    </w:p>
    <w:p w14:paraId="3EEB830E"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Díaz Rivera, D. M., Luna Hernández, M. J., &amp; Chunga Pacherre, E. R. (2025). La minería aurífera informal impacta los suelos del distrito </w:t>
      </w:r>
      <w:proofErr w:type="spellStart"/>
      <w:r w:rsidRPr="00F9625C">
        <w:rPr>
          <w:rFonts w:cs="Arial"/>
          <w:sz w:val="22"/>
          <w:szCs w:val="22"/>
        </w:rPr>
        <w:t>Carabayllo</w:t>
      </w:r>
      <w:proofErr w:type="spellEnd"/>
      <w:r w:rsidRPr="00F9625C">
        <w:rPr>
          <w:rFonts w:cs="Arial"/>
          <w:sz w:val="22"/>
          <w:szCs w:val="22"/>
        </w:rPr>
        <w:t xml:space="preserve"> en Lima-Perú. ÑEQUE. Revista de Investigación en Ciencias Administrativas Sociales, 8(21), 471–482. https://doi.org/10.33996/revistaneque.v8i21.207</w:t>
      </w:r>
    </w:p>
    <w:p w14:paraId="6C0F983C" w14:textId="77777777" w:rsidR="00F9625C" w:rsidRPr="00F9625C" w:rsidRDefault="00F9625C" w:rsidP="00F9625C">
      <w:pPr>
        <w:spacing w:after="60"/>
        <w:ind w:left="397" w:hanging="397"/>
        <w:rPr>
          <w:rFonts w:cs="Arial"/>
          <w:sz w:val="22"/>
          <w:szCs w:val="22"/>
        </w:rPr>
      </w:pPr>
      <w:r w:rsidRPr="00F9625C">
        <w:rPr>
          <w:rFonts w:cs="Arial"/>
          <w:sz w:val="22"/>
          <w:szCs w:val="22"/>
        </w:rPr>
        <w:t>Encarnación Gallardo, H. (2022). Paradigma contractual minero sobre cuestiones sociales y ambientales en el Perú [Trabajo de investigación de maestría, Pontificia Universidad Católica del Perú]. Repositorio Institucional PUCP.</w:t>
      </w:r>
    </w:p>
    <w:p w14:paraId="2D502212" w14:textId="77777777" w:rsidR="00F9625C" w:rsidRPr="00F9625C" w:rsidRDefault="00F9625C" w:rsidP="00F9625C">
      <w:pPr>
        <w:spacing w:after="60"/>
        <w:ind w:left="397" w:hanging="397"/>
        <w:rPr>
          <w:rFonts w:cs="Arial"/>
          <w:sz w:val="22"/>
          <w:szCs w:val="22"/>
        </w:rPr>
      </w:pPr>
      <w:r w:rsidRPr="00F9625C">
        <w:rPr>
          <w:rFonts w:cs="Arial"/>
          <w:sz w:val="22"/>
          <w:szCs w:val="22"/>
        </w:rPr>
        <w:t>Flores Heredia, G. (2022). Las comunidades amazónicas de El Cenepa y su batalla contra la minería ilegal y la contaminación ambiental: propuesta de intervención con enfoque de diálogo y transformación del conflicto. Justicia Ambiental, 2(2), 99-125. https://doi.org/10.35292/justiciaambiental.v2i2.683</w:t>
      </w:r>
    </w:p>
    <w:p w14:paraId="7637D225" w14:textId="77777777" w:rsidR="00F9625C" w:rsidRPr="00F9625C" w:rsidRDefault="00F9625C" w:rsidP="00F9625C">
      <w:pPr>
        <w:spacing w:after="60"/>
        <w:ind w:left="397" w:hanging="397"/>
        <w:rPr>
          <w:rFonts w:cs="Arial"/>
          <w:sz w:val="22"/>
          <w:szCs w:val="22"/>
        </w:rPr>
      </w:pPr>
      <w:r w:rsidRPr="00F9625C">
        <w:rPr>
          <w:rFonts w:cs="Arial"/>
          <w:sz w:val="22"/>
          <w:szCs w:val="22"/>
        </w:rPr>
        <w:t>Granados Posso, C. C. (2019). El proceso de formalización minera integral en el Perú y la vulneración de los derechos de los concesionarios mineros (Tesis de pregrado, Universidad de Lima). Universidad de Lima</w:t>
      </w:r>
    </w:p>
    <w:p w14:paraId="5685CBD4" w14:textId="77777777" w:rsidR="00F9625C" w:rsidRPr="00F9625C" w:rsidRDefault="00F9625C" w:rsidP="00F9625C">
      <w:pPr>
        <w:spacing w:after="60"/>
        <w:ind w:left="397" w:hanging="397"/>
        <w:rPr>
          <w:rFonts w:cs="Arial"/>
          <w:sz w:val="22"/>
          <w:szCs w:val="22"/>
        </w:rPr>
      </w:pPr>
      <w:r w:rsidRPr="00F9625C">
        <w:rPr>
          <w:rFonts w:cs="Arial"/>
          <w:sz w:val="22"/>
          <w:szCs w:val="22"/>
        </w:rPr>
        <w:t>Gustafsson, M.-T., &amp; Scurrah, M. (2019). Conflictos socioambientales, concesiones mineras y ordenamiento territorial en el Perú. Revista de Ciencia Política y Gobierno, 6(11), 81-104. https://doi.org/108800/rcpg.201901.004</w:t>
      </w:r>
    </w:p>
    <w:p w14:paraId="65E95D8E" w14:textId="77777777" w:rsidR="00F9625C" w:rsidRPr="00F9625C" w:rsidRDefault="00F9625C" w:rsidP="00F9625C">
      <w:pPr>
        <w:spacing w:after="60"/>
        <w:ind w:left="397" w:hanging="397"/>
        <w:rPr>
          <w:rFonts w:cs="Arial"/>
          <w:sz w:val="22"/>
          <w:szCs w:val="22"/>
        </w:rPr>
      </w:pPr>
      <w:r w:rsidRPr="00F9625C">
        <w:rPr>
          <w:rFonts w:cs="Arial"/>
          <w:sz w:val="22"/>
          <w:szCs w:val="22"/>
        </w:rPr>
        <w:t>Hernández Bernos, V., Encabo Caballero, A., Franco Dulanto, F., Garcés Gutiérrez, M., &amp; Varillas Palacios, A. A. (2025). ¿Expropiación encubierta? Análisis en torno a la regulación y el impacto de la servidumbre minera en el Perú. THĒMIS-Revista de Derecho, (87), 253-275. https://doi.org/10.18800/themis.202501.014</w:t>
      </w:r>
    </w:p>
    <w:p w14:paraId="44B6ECBF" w14:textId="77777777" w:rsidR="00F9625C" w:rsidRPr="00F9625C" w:rsidRDefault="00F9625C" w:rsidP="00F9625C">
      <w:pPr>
        <w:spacing w:after="60"/>
        <w:ind w:left="397" w:hanging="397"/>
        <w:rPr>
          <w:rFonts w:cs="Arial"/>
          <w:sz w:val="22"/>
          <w:szCs w:val="22"/>
        </w:rPr>
      </w:pPr>
      <w:r w:rsidRPr="00F9625C">
        <w:rPr>
          <w:rFonts w:cs="Arial"/>
          <w:sz w:val="22"/>
          <w:szCs w:val="22"/>
        </w:rPr>
        <w:t>Hincapié, S. (2023). Gobernanza ambiental global y derechos de la naturaleza en América Latina. Revista Derecho del Estado, (54), 277–305.</w:t>
      </w:r>
    </w:p>
    <w:p w14:paraId="38A54543" w14:textId="77777777" w:rsidR="00F9625C" w:rsidRPr="00F9625C" w:rsidRDefault="00F9625C" w:rsidP="00F9625C">
      <w:pPr>
        <w:spacing w:after="60"/>
        <w:ind w:left="397" w:hanging="397"/>
        <w:rPr>
          <w:rFonts w:cs="Arial"/>
          <w:sz w:val="22"/>
          <w:szCs w:val="22"/>
        </w:rPr>
      </w:pPr>
      <w:r w:rsidRPr="00F9625C">
        <w:rPr>
          <w:rFonts w:cs="Arial"/>
          <w:sz w:val="22"/>
          <w:szCs w:val="22"/>
        </w:rPr>
        <w:t>La Rosa Espinoza, E. J. (2025). Debilidades normativas en la persecución penal de la minería ilegal en el Perú: Análisis del artículo 307-A del Código Penal. LEX ET IUSTITIA, 3(1), 110–129. https://doi.org/10.46363/derecho.v3i1.6</w:t>
      </w:r>
    </w:p>
    <w:p w14:paraId="375EE811" w14:textId="77777777" w:rsidR="00F9625C" w:rsidRPr="00F9625C" w:rsidRDefault="00F9625C" w:rsidP="00F9625C">
      <w:pPr>
        <w:spacing w:after="60"/>
        <w:ind w:left="397" w:hanging="397"/>
        <w:rPr>
          <w:rFonts w:cs="Arial"/>
          <w:sz w:val="22"/>
          <w:szCs w:val="22"/>
        </w:rPr>
      </w:pPr>
      <w:proofErr w:type="spellStart"/>
      <w:r w:rsidRPr="00F9625C">
        <w:rPr>
          <w:rFonts w:cs="Arial"/>
          <w:sz w:val="22"/>
          <w:szCs w:val="22"/>
        </w:rPr>
        <w:t>Lostal</w:t>
      </w:r>
      <w:proofErr w:type="spellEnd"/>
      <w:r w:rsidRPr="00F9625C">
        <w:rPr>
          <w:rFonts w:cs="Arial"/>
          <w:sz w:val="22"/>
          <w:szCs w:val="22"/>
        </w:rPr>
        <w:t>, M., &amp; Colón Ríos, J. (2025). Diagnóstico comparado de la puesta en práctica de derechos de la Naturaleza. En R. Martínez Dalmau &amp; A. Pedro Bueno (Eds.), Derechos de la Naturaleza desde el Mediterráneo: Las políticas ecológicas en el contexto de la globalización (pp. 30–48). Pireo Editorial.</w:t>
      </w:r>
    </w:p>
    <w:p w14:paraId="4EF9AE04"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López Espinosa, E. A. (2023). La minería ilegal en las provincias de Napo y Pastaza y los derechos de los pueblos indígenas [Trabajo de titulación de pregrado, </w:t>
      </w:r>
      <w:r w:rsidRPr="00F9625C">
        <w:rPr>
          <w:rFonts w:cs="Arial"/>
          <w:sz w:val="22"/>
          <w:szCs w:val="22"/>
        </w:rPr>
        <w:lastRenderedPageBreak/>
        <w:t>Universidad Nacional de Chimborazo]. Repositorio Institucional de la Universidad Nacional de Chimborazo.</w:t>
      </w:r>
    </w:p>
    <w:p w14:paraId="5B95A120"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Manrique Herrera, E. A., &amp; Cuadros Rodríguez, H. S. (2023). La minería en el Perú: un arma de doble filo para el progreso nacional. </w:t>
      </w:r>
      <w:proofErr w:type="spellStart"/>
      <w:r w:rsidRPr="00F9625C">
        <w:rPr>
          <w:rFonts w:cs="Arial"/>
          <w:sz w:val="22"/>
          <w:szCs w:val="22"/>
        </w:rPr>
        <w:t>Sapientia</w:t>
      </w:r>
      <w:proofErr w:type="spellEnd"/>
      <w:r w:rsidRPr="00F9625C">
        <w:rPr>
          <w:rFonts w:cs="Arial"/>
          <w:sz w:val="22"/>
          <w:szCs w:val="22"/>
        </w:rPr>
        <w:t xml:space="preserve"> &amp; </w:t>
      </w:r>
      <w:proofErr w:type="spellStart"/>
      <w:r w:rsidRPr="00F9625C">
        <w:rPr>
          <w:rFonts w:cs="Arial"/>
          <w:sz w:val="22"/>
          <w:szCs w:val="22"/>
        </w:rPr>
        <w:t>Iustitia</w:t>
      </w:r>
      <w:proofErr w:type="spellEnd"/>
      <w:r w:rsidRPr="00F9625C">
        <w:rPr>
          <w:rFonts w:cs="Arial"/>
          <w:sz w:val="22"/>
          <w:szCs w:val="22"/>
        </w:rPr>
        <w:t>, (7), 115–140. https://doi.org/10.35626/sapientia.7.4.69</w:t>
      </w:r>
    </w:p>
    <w:p w14:paraId="16532204"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Martínez-Alier, J., Navas, G., Reyes-García, V., Roy, B., </w:t>
      </w:r>
      <w:proofErr w:type="spellStart"/>
      <w:r w:rsidRPr="00F9625C">
        <w:rPr>
          <w:rFonts w:cs="Arial"/>
          <w:sz w:val="22"/>
          <w:szCs w:val="22"/>
        </w:rPr>
        <w:t>Temper</w:t>
      </w:r>
      <w:proofErr w:type="spellEnd"/>
      <w:r w:rsidRPr="00F9625C">
        <w:rPr>
          <w:rFonts w:cs="Arial"/>
          <w:sz w:val="22"/>
          <w:szCs w:val="22"/>
        </w:rPr>
        <w:t xml:space="preserve">, L., Thiri, M. A., Tran, D., Walter, M., &amp; Whyte, K. P. (2023). Global </w:t>
      </w:r>
      <w:proofErr w:type="spellStart"/>
      <w:r w:rsidRPr="00F9625C">
        <w:rPr>
          <w:rFonts w:cs="Arial"/>
          <w:sz w:val="22"/>
          <w:szCs w:val="22"/>
        </w:rPr>
        <w:t>impacts</w:t>
      </w:r>
      <w:proofErr w:type="spellEnd"/>
      <w:r w:rsidRPr="00F9625C">
        <w:rPr>
          <w:rFonts w:cs="Arial"/>
          <w:sz w:val="22"/>
          <w:szCs w:val="22"/>
        </w:rPr>
        <w:t xml:space="preserve"> of </w:t>
      </w:r>
      <w:proofErr w:type="spellStart"/>
      <w:r w:rsidRPr="00F9625C">
        <w:rPr>
          <w:rFonts w:cs="Arial"/>
          <w:sz w:val="22"/>
          <w:szCs w:val="22"/>
        </w:rPr>
        <w:t>extractive</w:t>
      </w:r>
      <w:proofErr w:type="spellEnd"/>
      <w:r w:rsidRPr="00F9625C">
        <w:rPr>
          <w:rFonts w:cs="Arial"/>
          <w:sz w:val="22"/>
          <w:szCs w:val="22"/>
        </w:rPr>
        <w:t xml:space="preserve"> and industrial </w:t>
      </w:r>
      <w:proofErr w:type="spellStart"/>
      <w:r w:rsidRPr="00F9625C">
        <w:rPr>
          <w:rFonts w:cs="Arial"/>
          <w:sz w:val="22"/>
          <w:szCs w:val="22"/>
        </w:rPr>
        <w:t>development</w:t>
      </w:r>
      <w:proofErr w:type="spellEnd"/>
      <w:r w:rsidRPr="00F9625C">
        <w:rPr>
          <w:rFonts w:cs="Arial"/>
          <w:sz w:val="22"/>
          <w:szCs w:val="22"/>
        </w:rPr>
        <w:t xml:space="preserve"> </w:t>
      </w:r>
      <w:proofErr w:type="spellStart"/>
      <w:r w:rsidRPr="00F9625C">
        <w:rPr>
          <w:rFonts w:cs="Arial"/>
          <w:sz w:val="22"/>
          <w:szCs w:val="22"/>
        </w:rPr>
        <w:t>projects</w:t>
      </w:r>
      <w:proofErr w:type="spellEnd"/>
      <w:r w:rsidRPr="00F9625C">
        <w:rPr>
          <w:rFonts w:cs="Arial"/>
          <w:sz w:val="22"/>
          <w:szCs w:val="22"/>
        </w:rPr>
        <w:t xml:space="preserve"> on </w:t>
      </w:r>
      <w:proofErr w:type="spellStart"/>
      <w:r w:rsidRPr="00F9625C">
        <w:rPr>
          <w:rFonts w:cs="Arial"/>
          <w:sz w:val="22"/>
          <w:szCs w:val="22"/>
        </w:rPr>
        <w:t>Indigenous</w:t>
      </w:r>
      <w:proofErr w:type="spellEnd"/>
      <w:r w:rsidRPr="00F9625C">
        <w:rPr>
          <w:rFonts w:cs="Arial"/>
          <w:sz w:val="22"/>
          <w:szCs w:val="22"/>
        </w:rPr>
        <w:t xml:space="preserve"> </w:t>
      </w:r>
      <w:proofErr w:type="spellStart"/>
      <w:r w:rsidRPr="00F9625C">
        <w:rPr>
          <w:rFonts w:cs="Arial"/>
          <w:sz w:val="22"/>
          <w:szCs w:val="22"/>
        </w:rPr>
        <w:t>Peoples</w:t>
      </w:r>
      <w:proofErr w:type="spellEnd"/>
      <w:r w:rsidRPr="00F9625C">
        <w:rPr>
          <w:rFonts w:cs="Arial"/>
          <w:sz w:val="22"/>
          <w:szCs w:val="22"/>
        </w:rPr>
        <w:t xml:space="preserve">’ </w:t>
      </w:r>
      <w:proofErr w:type="spellStart"/>
      <w:r w:rsidRPr="00F9625C">
        <w:rPr>
          <w:rFonts w:cs="Arial"/>
          <w:sz w:val="22"/>
          <w:szCs w:val="22"/>
        </w:rPr>
        <w:t>lifeways</w:t>
      </w:r>
      <w:proofErr w:type="spellEnd"/>
      <w:r w:rsidRPr="00F9625C">
        <w:rPr>
          <w:rFonts w:cs="Arial"/>
          <w:sz w:val="22"/>
          <w:szCs w:val="22"/>
        </w:rPr>
        <w:t xml:space="preserve">, </w:t>
      </w:r>
      <w:proofErr w:type="spellStart"/>
      <w:r w:rsidRPr="00F9625C">
        <w:rPr>
          <w:rFonts w:cs="Arial"/>
          <w:sz w:val="22"/>
          <w:szCs w:val="22"/>
        </w:rPr>
        <w:t>lands</w:t>
      </w:r>
      <w:proofErr w:type="spellEnd"/>
      <w:r w:rsidRPr="00F9625C">
        <w:rPr>
          <w:rFonts w:cs="Arial"/>
          <w:sz w:val="22"/>
          <w:szCs w:val="22"/>
        </w:rPr>
        <w:t xml:space="preserve">, and </w:t>
      </w:r>
      <w:proofErr w:type="spellStart"/>
      <w:r w:rsidRPr="00F9625C">
        <w:rPr>
          <w:rFonts w:cs="Arial"/>
          <w:sz w:val="22"/>
          <w:szCs w:val="22"/>
        </w:rPr>
        <w:t>rights</w:t>
      </w:r>
      <w:proofErr w:type="spellEnd"/>
      <w:r w:rsidRPr="00F9625C">
        <w:rPr>
          <w:rFonts w:cs="Arial"/>
          <w:sz w:val="22"/>
          <w:szCs w:val="22"/>
        </w:rPr>
        <w:t xml:space="preserve">. </w:t>
      </w:r>
      <w:proofErr w:type="spellStart"/>
      <w:r w:rsidRPr="00F9625C">
        <w:rPr>
          <w:rFonts w:cs="Arial"/>
          <w:sz w:val="22"/>
          <w:szCs w:val="22"/>
        </w:rPr>
        <w:t>Science</w:t>
      </w:r>
      <w:proofErr w:type="spellEnd"/>
      <w:r w:rsidRPr="00F9625C">
        <w:rPr>
          <w:rFonts w:cs="Arial"/>
          <w:sz w:val="22"/>
          <w:szCs w:val="22"/>
        </w:rPr>
        <w:t xml:space="preserve"> </w:t>
      </w:r>
      <w:proofErr w:type="spellStart"/>
      <w:r w:rsidRPr="00F9625C">
        <w:rPr>
          <w:rFonts w:cs="Arial"/>
          <w:sz w:val="22"/>
          <w:szCs w:val="22"/>
        </w:rPr>
        <w:t>Advances</w:t>
      </w:r>
      <w:proofErr w:type="spellEnd"/>
      <w:r w:rsidRPr="00F9625C">
        <w:rPr>
          <w:rFonts w:cs="Arial"/>
          <w:sz w:val="22"/>
          <w:szCs w:val="22"/>
        </w:rPr>
        <w:t>, 9(23), eade9557. https://doi.org/10.1126/sciadv.ade9557</w:t>
      </w:r>
    </w:p>
    <w:p w14:paraId="0E4CC1AE" w14:textId="77777777" w:rsidR="00F9625C" w:rsidRPr="00F9625C" w:rsidRDefault="00F9625C" w:rsidP="00F9625C">
      <w:pPr>
        <w:spacing w:after="60"/>
        <w:ind w:left="397" w:hanging="397"/>
        <w:rPr>
          <w:rFonts w:cs="Arial"/>
          <w:sz w:val="22"/>
          <w:szCs w:val="22"/>
        </w:rPr>
      </w:pPr>
      <w:r w:rsidRPr="00F9625C">
        <w:rPr>
          <w:rFonts w:cs="Arial"/>
          <w:sz w:val="22"/>
          <w:szCs w:val="22"/>
        </w:rPr>
        <w:t>Martínez-Moscoso, A., &amp; Warner, M. E. (2025). Derechos de la naturaleza: un puente hacia una visión ecosistémica. IUSTA, (62), 52–64. https://doi.org/10.15332/25005286.11071</w:t>
      </w:r>
    </w:p>
    <w:p w14:paraId="31AEFBF7" w14:textId="77777777" w:rsidR="00F9625C" w:rsidRPr="00F9625C" w:rsidRDefault="00F9625C" w:rsidP="00F9625C">
      <w:pPr>
        <w:spacing w:after="60"/>
        <w:ind w:left="397" w:hanging="397"/>
        <w:rPr>
          <w:rFonts w:cs="Arial"/>
          <w:sz w:val="22"/>
          <w:szCs w:val="22"/>
        </w:rPr>
      </w:pPr>
      <w:r w:rsidRPr="00F9625C">
        <w:rPr>
          <w:rFonts w:cs="Arial"/>
          <w:sz w:val="22"/>
          <w:szCs w:val="22"/>
        </w:rPr>
        <w:t>Merino, R. (2022). Soberanías en conflicto: conservación y naciones indígenas en la Amazonía peruana. En A. Castro &amp; M. I. Merino-Gómez (Eds.), Desafíos y perspectivas de la situación ambiental en el Perú. En el marco de la conmemoración de los 200 años de vida republicana (pp. 286–312). INTE-PUCP. https://doi.org/10.18800/978-9972-674-30-3.014</w:t>
      </w:r>
    </w:p>
    <w:p w14:paraId="2104FEB6"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Monteagudo, C., &amp; </w:t>
      </w:r>
      <w:proofErr w:type="spellStart"/>
      <w:r w:rsidRPr="00F9625C">
        <w:rPr>
          <w:rFonts w:cs="Arial"/>
          <w:sz w:val="22"/>
          <w:szCs w:val="22"/>
        </w:rPr>
        <w:t>Huyhua</w:t>
      </w:r>
      <w:proofErr w:type="spellEnd"/>
      <w:r w:rsidRPr="00F9625C">
        <w:rPr>
          <w:rFonts w:cs="Arial"/>
          <w:sz w:val="22"/>
          <w:szCs w:val="22"/>
        </w:rPr>
        <w:t xml:space="preserve"> Muñoz, S. L. (2023). Los derechos de la naturaleza y la necesidad de transitar hacia una nueva ontología. Revista </w:t>
      </w:r>
      <w:proofErr w:type="spellStart"/>
      <w:r w:rsidRPr="00F9625C">
        <w:rPr>
          <w:rFonts w:cs="Arial"/>
          <w:sz w:val="22"/>
          <w:szCs w:val="22"/>
        </w:rPr>
        <w:t>Kawsaypacha</w:t>
      </w:r>
      <w:proofErr w:type="spellEnd"/>
      <w:r w:rsidRPr="00F9625C">
        <w:rPr>
          <w:rFonts w:cs="Arial"/>
          <w:sz w:val="22"/>
          <w:szCs w:val="22"/>
        </w:rPr>
        <w:t>. Sociedad y Medio Ambiente, (11), A-005. https://doi.org/10.18800/kawsaypacha.202301.A005</w:t>
      </w:r>
    </w:p>
    <w:p w14:paraId="57AC46A3"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Montoya, A., </w:t>
      </w:r>
      <w:proofErr w:type="spellStart"/>
      <w:r w:rsidRPr="00F9625C">
        <w:rPr>
          <w:rFonts w:cs="Arial"/>
          <w:sz w:val="22"/>
          <w:szCs w:val="22"/>
        </w:rPr>
        <w:t>Sieder</w:t>
      </w:r>
      <w:proofErr w:type="spellEnd"/>
      <w:r w:rsidRPr="00F9625C">
        <w:rPr>
          <w:rFonts w:cs="Arial"/>
          <w:sz w:val="22"/>
          <w:szCs w:val="22"/>
        </w:rPr>
        <w:t>, R., &amp; Bravo-Espinosa, Y. (2022). Juridificación multiescalar frente a la industria minera: experiencias de Centroamérica y México. Íconos. Revista de Ciencias Sociales, 72, 57–78. https://doi.org/10.17141/iconos.72.2022.5033</w:t>
      </w:r>
    </w:p>
    <w:p w14:paraId="071EAFBD"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Moreno Coello, M. V. (2025). Los derechos de la naturaleza vulnerados por la actividad minera dentro del bosque protector Los Cedros como sujeto de derechos [Examen </w:t>
      </w:r>
      <w:proofErr w:type="spellStart"/>
      <w:r w:rsidRPr="00F9625C">
        <w:rPr>
          <w:rFonts w:cs="Arial"/>
          <w:sz w:val="22"/>
          <w:szCs w:val="22"/>
        </w:rPr>
        <w:t>complexivo</w:t>
      </w:r>
      <w:proofErr w:type="spellEnd"/>
      <w:r w:rsidRPr="00F9625C">
        <w:rPr>
          <w:rFonts w:cs="Arial"/>
          <w:sz w:val="22"/>
          <w:szCs w:val="22"/>
        </w:rPr>
        <w:t xml:space="preserve"> previo a la obtención del título de Abogada, Universidad Regional Autónoma de los Andes].</w:t>
      </w:r>
    </w:p>
    <w:p w14:paraId="3F4894F1"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Olivares Alanís, E. C. (2013). </w:t>
      </w:r>
      <w:proofErr w:type="spellStart"/>
      <w:r w:rsidRPr="00F9625C">
        <w:rPr>
          <w:rFonts w:cs="Arial"/>
          <w:sz w:val="22"/>
          <w:szCs w:val="22"/>
        </w:rPr>
        <w:t>Indigenous</w:t>
      </w:r>
      <w:proofErr w:type="spellEnd"/>
      <w:r w:rsidRPr="00F9625C">
        <w:rPr>
          <w:rFonts w:cs="Arial"/>
          <w:sz w:val="22"/>
          <w:szCs w:val="22"/>
        </w:rPr>
        <w:t xml:space="preserve"> </w:t>
      </w:r>
      <w:proofErr w:type="spellStart"/>
      <w:r w:rsidRPr="00F9625C">
        <w:rPr>
          <w:rFonts w:cs="Arial"/>
          <w:sz w:val="22"/>
          <w:szCs w:val="22"/>
        </w:rPr>
        <w:t>Peoples</w:t>
      </w:r>
      <w:proofErr w:type="spellEnd"/>
      <w:r w:rsidRPr="00F9625C">
        <w:rPr>
          <w:rFonts w:cs="Arial"/>
          <w:sz w:val="22"/>
          <w:szCs w:val="22"/>
        </w:rPr>
        <w:t xml:space="preserve">' </w:t>
      </w:r>
      <w:proofErr w:type="spellStart"/>
      <w:r w:rsidRPr="00F9625C">
        <w:rPr>
          <w:rFonts w:cs="Arial"/>
          <w:sz w:val="22"/>
          <w:szCs w:val="22"/>
        </w:rPr>
        <w:t>Rights</w:t>
      </w:r>
      <w:proofErr w:type="spellEnd"/>
      <w:r w:rsidRPr="00F9625C">
        <w:rPr>
          <w:rFonts w:cs="Arial"/>
          <w:sz w:val="22"/>
          <w:szCs w:val="22"/>
        </w:rPr>
        <w:t xml:space="preserve"> and the </w:t>
      </w:r>
      <w:proofErr w:type="spellStart"/>
      <w:r w:rsidRPr="00F9625C">
        <w:rPr>
          <w:rFonts w:cs="Arial"/>
          <w:sz w:val="22"/>
          <w:szCs w:val="22"/>
        </w:rPr>
        <w:t>Extractive</w:t>
      </w:r>
      <w:proofErr w:type="spellEnd"/>
      <w:r w:rsidRPr="00F9625C">
        <w:rPr>
          <w:rFonts w:cs="Arial"/>
          <w:sz w:val="22"/>
          <w:szCs w:val="22"/>
        </w:rPr>
        <w:t xml:space="preserve"> </w:t>
      </w:r>
      <w:proofErr w:type="spellStart"/>
      <w:r w:rsidRPr="00F9625C">
        <w:rPr>
          <w:rFonts w:cs="Arial"/>
          <w:sz w:val="22"/>
          <w:szCs w:val="22"/>
        </w:rPr>
        <w:t>Industry</w:t>
      </w:r>
      <w:proofErr w:type="spellEnd"/>
      <w:r w:rsidRPr="00F9625C">
        <w:rPr>
          <w:rFonts w:cs="Arial"/>
          <w:sz w:val="22"/>
          <w:szCs w:val="22"/>
        </w:rPr>
        <w:t xml:space="preserve">: </w:t>
      </w:r>
      <w:proofErr w:type="spellStart"/>
      <w:r w:rsidRPr="00F9625C">
        <w:rPr>
          <w:rFonts w:cs="Arial"/>
          <w:sz w:val="22"/>
          <w:szCs w:val="22"/>
        </w:rPr>
        <w:t>Jurisprudence</w:t>
      </w:r>
      <w:proofErr w:type="spellEnd"/>
      <w:r w:rsidRPr="00F9625C">
        <w:rPr>
          <w:rFonts w:cs="Arial"/>
          <w:sz w:val="22"/>
          <w:szCs w:val="22"/>
        </w:rPr>
        <w:t xml:space="preserve"> </w:t>
      </w:r>
      <w:proofErr w:type="spellStart"/>
      <w:r w:rsidRPr="00F9625C">
        <w:rPr>
          <w:rFonts w:cs="Arial"/>
          <w:sz w:val="22"/>
          <w:szCs w:val="22"/>
        </w:rPr>
        <w:t>from</w:t>
      </w:r>
      <w:proofErr w:type="spellEnd"/>
      <w:r w:rsidRPr="00F9625C">
        <w:rPr>
          <w:rFonts w:cs="Arial"/>
          <w:sz w:val="22"/>
          <w:szCs w:val="22"/>
        </w:rPr>
        <w:t xml:space="preserve"> the Inter-American </w:t>
      </w:r>
      <w:proofErr w:type="spellStart"/>
      <w:r w:rsidRPr="00F9625C">
        <w:rPr>
          <w:rFonts w:cs="Arial"/>
          <w:sz w:val="22"/>
          <w:szCs w:val="22"/>
        </w:rPr>
        <w:t>System</w:t>
      </w:r>
      <w:proofErr w:type="spellEnd"/>
      <w:r w:rsidRPr="00F9625C">
        <w:rPr>
          <w:rFonts w:cs="Arial"/>
          <w:sz w:val="22"/>
          <w:szCs w:val="22"/>
        </w:rPr>
        <w:t xml:space="preserve"> of Human </w:t>
      </w:r>
      <w:proofErr w:type="spellStart"/>
      <w:r w:rsidRPr="00F9625C">
        <w:rPr>
          <w:rFonts w:cs="Arial"/>
          <w:sz w:val="22"/>
          <w:szCs w:val="22"/>
        </w:rPr>
        <w:t>Rights</w:t>
      </w:r>
      <w:proofErr w:type="spellEnd"/>
      <w:r w:rsidRPr="00F9625C">
        <w:rPr>
          <w:rFonts w:cs="Arial"/>
          <w:sz w:val="22"/>
          <w:szCs w:val="22"/>
        </w:rPr>
        <w:t xml:space="preserve">. </w:t>
      </w:r>
      <w:proofErr w:type="spellStart"/>
      <w:r w:rsidRPr="00F9625C">
        <w:rPr>
          <w:rFonts w:cs="Arial"/>
          <w:sz w:val="22"/>
          <w:szCs w:val="22"/>
        </w:rPr>
        <w:t>Goettingen</w:t>
      </w:r>
      <w:proofErr w:type="spellEnd"/>
      <w:r w:rsidRPr="00F9625C">
        <w:rPr>
          <w:rFonts w:cs="Arial"/>
          <w:sz w:val="22"/>
          <w:szCs w:val="22"/>
        </w:rPr>
        <w:t xml:space="preserve"> </w:t>
      </w:r>
      <w:proofErr w:type="spellStart"/>
      <w:r w:rsidRPr="00F9625C">
        <w:rPr>
          <w:rFonts w:cs="Arial"/>
          <w:sz w:val="22"/>
          <w:szCs w:val="22"/>
        </w:rPr>
        <w:t>Journal</w:t>
      </w:r>
      <w:proofErr w:type="spellEnd"/>
      <w:r w:rsidRPr="00F9625C">
        <w:rPr>
          <w:rFonts w:cs="Arial"/>
          <w:sz w:val="22"/>
          <w:szCs w:val="22"/>
        </w:rPr>
        <w:t xml:space="preserve"> of International Law, 5(1), 187–214.</w:t>
      </w:r>
    </w:p>
    <w:p w14:paraId="5E86ACA1" w14:textId="77777777" w:rsidR="00F9625C" w:rsidRPr="00F9625C" w:rsidRDefault="00F9625C" w:rsidP="00F9625C">
      <w:pPr>
        <w:spacing w:after="60"/>
        <w:ind w:left="397" w:hanging="397"/>
        <w:rPr>
          <w:rFonts w:cs="Arial"/>
          <w:sz w:val="22"/>
          <w:szCs w:val="22"/>
        </w:rPr>
      </w:pPr>
      <w:r w:rsidRPr="00F9625C">
        <w:rPr>
          <w:rFonts w:cs="Arial"/>
          <w:sz w:val="22"/>
          <w:szCs w:val="22"/>
        </w:rPr>
        <w:t>Prince Torres, Á. C. (2023). La minería ilegal como mecanismo de vulneración a los derechos ambientales en Latinoamérica durante tiempos de pandemia. Revista Justicia &amp; Derecho, 6(2). https://doi.org/10.32457/rjyd.v6i2.2139</w:t>
      </w:r>
    </w:p>
    <w:p w14:paraId="6F997679" w14:textId="77777777" w:rsidR="00F9625C" w:rsidRPr="00F9625C" w:rsidRDefault="00F9625C" w:rsidP="00F9625C">
      <w:pPr>
        <w:spacing w:after="60"/>
        <w:ind w:left="397" w:hanging="397"/>
        <w:rPr>
          <w:rFonts w:cs="Arial"/>
          <w:sz w:val="22"/>
          <w:szCs w:val="22"/>
        </w:rPr>
      </w:pPr>
      <w:r w:rsidRPr="00F9625C">
        <w:rPr>
          <w:rFonts w:cs="Arial"/>
          <w:sz w:val="22"/>
          <w:szCs w:val="22"/>
        </w:rPr>
        <w:lastRenderedPageBreak/>
        <w:t xml:space="preserve">Quijano Vallejos, P., Veit, P. G., Tipula, P., &amp; </w:t>
      </w:r>
      <w:proofErr w:type="spellStart"/>
      <w:r w:rsidRPr="00F9625C">
        <w:rPr>
          <w:rFonts w:cs="Arial"/>
          <w:sz w:val="22"/>
          <w:szCs w:val="22"/>
        </w:rPr>
        <w:t>Reytar</w:t>
      </w:r>
      <w:proofErr w:type="spellEnd"/>
      <w:r w:rsidRPr="00F9625C">
        <w:rPr>
          <w:rFonts w:cs="Arial"/>
          <w:sz w:val="22"/>
          <w:szCs w:val="22"/>
        </w:rPr>
        <w:t xml:space="preserve">, K. (2020). </w:t>
      </w:r>
      <w:proofErr w:type="spellStart"/>
      <w:r w:rsidRPr="00F9625C">
        <w:rPr>
          <w:rFonts w:cs="Arial"/>
          <w:sz w:val="22"/>
          <w:szCs w:val="22"/>
        </w:rPr>
        <w:t>Undermining</w:t>
      </w:r>
      <w:proofErr w:type="spellEnd"/>
      <w:r w:rsidRPr="00F9625C">
        <w:rPr>
          <w:rFonts w:cs="Arial"/>
          <w:sz w:val="22"/>
          <w:szCs w:val="22"/>
        </w:rPr>
        <w:t xml:space="preserve"> </w:t>
      </w:r>
      <w:proofErr w:type="spellStart"/>
      <w:r w:rsidRPr="00F9625C">
        <w:rPr>
          <w:rFonts w:cs="Arial"/>
          <w:sz w:val="22"/>
          <w:szCs w:val="22"/>
        </w:rPr>
        <w:t>rights</w:t>
      </w:r>
      <w:proofErr w:type="spellEnd"/>
      <w:r w:rsidRPr="00F9625C">
        <w:rPr>
          <w:rFonts w:cs="Arial"/>
          <w:sz w:val="22"/>
          <w:szCs w:val="22"/>
        </w:rPr>
        <w:t xml:space="preserve">: </w:t>
      </w:r>
      <w:proofErr w:type="spellStart"/>
      <w:r w:rsidRPr="00F9625C">
        <w:rPr>
          <w:rFonts w:cs="Arial"/>
          <w:sz w:val="22"/>
          <w:szCs w:val="22"/>
        </w:rPr>
        <w:t>Indigenous</w:t>
      </w:r>
      <w:proofErr w:type="spellEnd"/>
      <w:r w:rsidRPr="00F9625C">
        <w:rPr>
          <w:rFonts w:cs="Arial"/>
          <w:sz w:val="22"/>
          <w:szCs w:val="22"/>
        </w:rPr>
        <w:t xml:space="preserve"> </w:t>
      </w:r>
      <w:proofErr w:type="spellStart"/>
      <w:r w:rsidRPr="00F9625C">
        <w:rPr>
          <w:rFonts w:cs="Arial"/>
          <w:sz w:val="22"/>
          <w:szCs w:val="22"/>
        </w:rPr>
        <w:t>lands</w:t>
      </w:r>
      <w:proofErr w:type="spellEnd"/>
      <w:r w:rsidRPr="00F9625C">
        <w:rPr>
          <w:rFonts w:cs="Arial"/>
          <w:sz w:val="22"/>
          <w:szCs w:val="22"/>
        </w:rPr>
        <w:t xml:space="preserve"> and </w:t>
      </w:r>
      <w:proofErr w:type="spellStart"/>
      <w:r w:rsidRPr="00F9625C">
        <w:rPr>
          <w:rFonts w:cs="Arial"/>
          <w:sz w:val="22"/>
          <w:szCs w:val="22"/>
        </w:rPr>
        <w:t>mining</w:t>
      </w:r>
      <w:proofErr w:type="spellEnd"/>
      <w:r w:rsidRPr="00F9625C">
        <w:rPr>
          <w:rFonts w:cs="Arial"/>
          <w:sz w:val="22"/>
          <w:szCs w:val="22"/>
        </w:rPr>
        <w:t xml:space="preserve"> in the Amazon. </w:t>
      </w:r>
      <w:proofErr w:type="spellStart"/>
      <w:r w:rsidRPr="00F9625C">
        <w:rPr>
          <w:rFonts w:cs="Arial"/>
          <w:sz w:val="22"/>
          <w:szCs w:val="22"/>
        </w:rPr>
        <w:t>World</w:t>
      </w:r>
      <w:proofErr w:type="spellEnd"/>
      <w:r w:rsidRPr="00F9625C">
        <w:rPr>
          <w:rFonts w:cs="Arial"/>
          <w:sz w:val="22"/>
          <w:szCs w:val="22"/>
        </w:rPr>
        <w:t xml:space="preserve"> </w:t>
      </w:r>
      <w:proofErr w:type="spellStart"/>
      <w:r w:rsidRPr="00F9625C">
        <w:rPr>
          <w:rFonts w:cs="Arial"/>
          <w:sz w:val="22"/>
          <w:szCs w:val="22"/>
        </w:rPr>
        <w:t>Resources</w:t>
      </w:r>
      <w:proofErr w:type="spellEnd"/>
      <w:r w:rsidRPr="00F9625C">
        <w:rPr>
          <w:rFonts w:cs="Arial"/>
          <w:sz w:val="22"/>
          <w:szCs w:val="22"/>
        </w:rPr>
        <w:t xml:space="preserve"> </w:t>
      </w:r>
      <w:proofErr w:type="spellStart"/>
      <w:r w:rsidRPr="00F9625C">
        <w:rPr>
          <w:rFonts w:cs="Arial"/>
          <w:sz w:val="22"/>
          <w:szCs w:val="22"/>
        </w:rPr>
        <w:t>Institute</w:t>
      </w:r>
      <w:proofErr w:type="spellEnd"/>
      <w:r w:rsidRPr="00F9625C">
        <w:rPr>
          <w:rFonts w:cs="Arial"/>
          <w:sz w:val="22"/>
          <w:szCs w:val="22"/>
        </w:rPr>
        <w:t>. https://doi.org/10.46830/wrirpt.19.00085</w:t>
      </w:r>
    </w:p>
    <w:p w14:paraId="6D6305ED"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Quispe-Borda, W. (2023). Imaginario social y proyectos de exploración minera </w:t>
      </w:r>
      <w:proofErr w:type="spellStart"/>
      <w:r w:rsidRPr="00F9625C">
        <w:rPr>
          <w:rFonts w:cs="Arial"/>
          <w:sz w:val="22"/>
          <w:szCs w:val="22"/>
        </w:rPr>
        <w:t>Nuñoa</w:t>
      </w:r>
      <w:proofErr w:type="spellEnd"/>
      <w:r w:rsidRPr="00F9625C">
        <w:rPr>
          <w:rFonts w:cs="Arial"/>
          <w:sz w:val="22"/>
          <w:szCs w:val="22"/>
        </w:rPr>
        <w:t>, Puno-Perú. Semestre Económico, 12(1), 96-111. https://doi.org/10.26867/se.2023.v12i1.147</w:t>
      </w:r>
    </w:p>
    <w:p w14:paraId="0AE74C9D" w14:textId="77777777" w:rsidR="00F9625C" w:rsidRPr="00F9625C" w:rsidRDefault="00F9625C" w:rsidP="00F9625C">
      <w:pPr>
        <w:spacing w:after="60"/>
        <w:ind w:left="397" w:hanging="397"/>
        <w:rPr>
          <w:rFonts w:cs="Arial"/>
          <w:sz w:val="22"/>
          <w:szCs w:val="22"/>
        </w:rPr>
      </w:pPr>
      <w:r w:rsidRPr="00F9625C">
        <w:rPr>
          <w:rFonts w:cs="Arial"/>
          <w:sz w:val="22"/>
          <w:szCs w:val="22"/>
        </w:rPr>
        <w:t>Robalino Altamirano, B. A., &amp; Cárdenas Paredes, K. D. (2025). La minería ilegal en Ecuador: Análisis jurídico de la participación extranjera y desafíos estructurales para el fortalecimiento del marco legal nacional. Portal de la Ciencia, 6(Número especial 1), 37–55.</w:t>
      </w:r>
    </w:p>
    <w:p w14:paraId="6672CBB8" w14:textId="77777777" w:rsidR="00F9625C" w:rsidRPr="00F9625C" w:rsidRDefault="00F9625C" w:rsidP="00F9625C">
      <w:pPr>
        <w:spacing w:after="60"/>
        <w:ind w:left="397" w:hanging="397"/>
        <w:rPr>
          <w:rFonts w:cs="Arial"/>
          <w:sz w:val="22"/>
          <w:szCs w:val="22"/>
        </w:rPr>
      </w:pPr>
      <w:r w:rsidRPr="00F9625C">
        <w:rPr>
          <w:rFonts w:cs="Arial"/>
          <w:sz w:val="22"/>
          <w:szCs w:val="22"/>
        </w:rPr>
        <w:t>Sánchez, D., Villa Vilchez, Z., Milián, C., Reyna, G., Toledo, P., &amp; Peña, A. (2025). Crisis climática e infancia en pueblos indígenas. Un análisis crítico de estudios previos. Revista Igobernanza, 8(30), 231–253. https://doi.org/10.47865/igob.vol8.n30.2025.416</w:t>
      </w:r>
    </w:p>
    <w:p w14:paraId="5CFE43E2" w14:textId="77777777" w:rsidR="00F9625C" w:rsidRPr="00F9625C" w:rsidRDefault="00F9625C" w:rsidP="00F9625C">
      <w:pPr>
        <w:spacing w:after="60"/>
        <w:ind w:left="397" w:hanging="397"/>
        <w:rPr>
          <w:rFonts w:cs="Arial"/>
          <w:sz w:val="22"/>
          <w:szCs w:val="22"/>
        </w:rPr>
      </w:pPr>
      <w:r w:rsidRPr="00F9625C">
        <w:rPr>
          <w:rFonts w:cs="Arial"/>
          <w:sz w:val="22"/>
          <w:szCs w:val="22"/>
        </w:rPr>
        <w:t>Vega Jara, C. D., &amp; Pinzón Monja, C. A. (2023). Diseño e implementación del manual de procedimientos policiales para enfrentar la ineficacia de la intervención policial del delito de minería ilegal en la región Madre de Dios (Trabajo de investigación de maestría). Pontificia Universidad Católica del Perú.</w:t>
      </w:r>
    </w:p>
    <w:p w14:paraId="217F207A" w14:textId="77777777" w:rsidR="00F9625C" w:rsidRPr="00F9625C" w:rsidRDefault="00F9625C" w:rsidP="00F9625C">
      <w:pPr>
        <w:spacing w:after="60"/>
        <w:ind w:left="397" w:hanging="397"/>
        <w:rPr>
          <w:rFonts w:cs="Arial"/>
          <w:sz w:val="22"/>
          <w:szCs w:val="22"/>
        </w:rPr>
      </w:pPr>
      <w:r w:rsidRPr="00F9625C">
        <w:rPr>
          <w:rFonts w:cs="Arial"/>
          <w:sz w:val="22"/>
          <w:szCs w:val="22"/>
        </w:rPr>
        <w:t>Velásquez Zapata, G. Y. (2020). Problemas medioambientales de la minería aurífera ilegal en Madre de Dios (Perú). Observatorio Medioambiental, 23, 229–241. https://doi.org/10.5209/OBMD.73177</w:t>
      </w:r>
    </w:p>
    <w:p w14:paraId="250DA6F6" w14:textId="77777777" w:rsidR="00F9625C" w:rsidRPr="00F9625C" w:rsidRDefault="00F9625C" w:rsidP="00F9625C">
      <w:pPr>
        <w:spacing w:after="60"/>
        <w:ind w:left="397" w:hanging="397"/>
        <w:rPr>
          <w:rFonts w:cs="Arial"/>
          <w:sz w:val="22"/>
          <w:szCs w:val="22"/>
        </w:rPr>
      </w:pPr>
      <w:r w:rsidRPr="00F9625C">
        <w:rPr>
          <w:rFonts w:cs="Arial"/>
          <w:sz w:val="22"/>
          <w:szCs w:val="22"/>
        </w:rPr>
        <w:t xml:space="preserve">Vinueza Arroyo, G. F., Vallejo Quevedo, L. A., </w:t>
      </w:r>
      <w:proofErr w:type="spellStart"/>
      <w:r w:rsidRPr="00F9625C">
        <w:rPr>
          <w:rFonts w:cs="Arial"/>
          <w:sz w:val="22"/>
          <w:szCs w:val="22"/>
        </w:rPr>
        <w:t>Gañay</w:t>
      </w:r>
      <w:proofErr w:type="spellEnd"/>
      <w:r w:rsidRPr="00F9625C">
        <w:rPr>
          <w:rFonts w:cs="Arial"/>
          <w:sz w:val="22"/>
          <w:szCs w:val="22"/>
        </w:rPr>
        <w:t xml:space="preserve"> </w:t>
      </w:r>
      <w:proofErr w:type="spellStart"/>
      <w:r w:rsidRPr="00F9625C">
        <w:rPr>
          <w:rFonts w:cs="Arial"/>
          <w:sz w:val="22"/>
          <w:szCs w:val="22"/>
        </w:rPr>
        <w:t>Luiza</w:t>
      </w:r>
      <w:proofErr w:type="spellEnd"/>
      <w:r w:rsidRPr="00F9625C">
        <w:rPr>
          <w:rFonts w:cs="Arial"/>
          <w:sz w:val="22"/>
          <w:szCs w:val="22"/>
        </w:rPr>
        <w:t xml:space="preserve">, J. I., &amp; </w:t>
      </w:r>
      <w:proofErr w:type="spellStart"/>
      <w:r w:rsidRPr="00F9625C">
        <w:rPr>
          <w:rFonts w:cs="Arial"/>
          <w:sz w:val="22"/>
          <w:szCs w:val="22"/>
        </w:rPr>
        <w:t>Yanchaguano</w:t>
      </w:r>
      <w:proofErr w:type="spellEnd"/>
      <w:r w:rsidRPr="00F9625C">
        <w:rPr>
          <w:rFonts w:cs="Arial"/>
          <w:sz w:val="22"/>
          <w:szCs w:val="22"/>
        </w:rPr>
        <w:t xml:space="preserve"> </w:t>
      </w:r>
      <w:proofErr w:type="spellStart"/>
      <w:r w:rsidRPr="00F9625C">
        <w:rPr>
          <w:rFonts w:cs="Arial"/>
          <w:sz w:val="22"/>
          <w:szCs w:val="22"/>
        </w:rPr>
        <w:t>Toapanta</w:t>
      </w:r>
      <w:proofErr w:type="spellEnd"/>
      <w:r w:rsidRPr="00F9625C">
        <w:rPr>
          <w:rFonts w:cs="Arial"/>
          <w:sz w:val="22"/>
          <w:szCs w:val="22"/>
        </w:rPr>
        <w:t>, K. B. (2025). Análisis de comparación internacional sobre la efectividad de la legislación ecuatoriana en la gestión de la minería ilegal en la Amazonía. Dilemas Contemporáneos: Educación, Política y Valores, 12(3), Artículo 94.</w:t>
      </w:r>
    </w:p>
    <w:p w14:paraId="17CAFF84" w14:textId="77777777" w:rsidR="00F9625C" w:rsidRPr="00F9625C" w:rsidRDefault="00F9625C" w:rsidP="00F9625C">
      <w:pPr>
        <w:spacing w:after="60"/>
        <w:ind w:left="397" w:hanging="397"/>
        <w:rPr>
          <w:rFonts w:cs="Arial"/>
          <w:sz w:val="22"/>
          <w:szCs w:val="22"/>
        </w:rPr>
      </w:pPr>
      <w:r w:rsidRPr="00F9625C">
        <w:rPr>
          <w:rFonts w:cs="Arial"/>
          <w:sz w:val="22"/>
          <w:szCs w:val="22"/>
        </w:rPr>
        <w:t>Vásquez Aching, M. (2025). Presencia de actividad minera ilegal y atentado a la calidad del agua en la Amazonía peruana. 2024 [Tesis de pregrado, Universidad Católica Los Ángeles de Chimbote].</w:t>
      </w:r>
    </w:p>
    <w:p w14:paraId="61B91DC1" w14:textId="77777777" w:rsidR="00F9625C" w:rsidRPr="00F9625C" w:rsidRDefault="00F9625C" w:rsidP="00F9625C">
      <w:pPr>
        <w:spacing w:after="60"/>
        <w:ind w:left="397" w:hanging="397"/>
        <w:rPr>
          <w:rFonts w:cs="Arial"/>
          <w:sz w:val="22"/>
          <w:szCs w:val="22"/>
        </w:rPr>
      </w:pPr>
      <w:r w:rsidRPr="00F9625C">
        <w:rPr>
          <w:rFonts w:cs="Arial"/>
          <w:sz w:val="22"/>
          <w:szCs w:val="22"/>
        </w:rPr>
        <w:t>Zambrano Reyna, I. A., &amp; Paz Zamora, Y. E. (2024). Justicia constitucional en defensa de los derechos de la naturaleza: Un análisis comparativo de Ecuador y los países de la región. Revista Social Fronteriza, 4(3), e306. https://doi.org/10.59814/resofro.2024.4(3)e306</w:t>
      </w:r>
    </w:p>
    <w:p w14:paraId="7A50952E" w14:textId="77777777" w:rsidR="008A2B95" w:rsidRPr="00F9625C" w:rsidRDefault="008A2B95" w:rsidP="00F9625C">
      <w:pPr>
        <w:rPr>
          <w:rFonts w:cs="Arial"/>
          <w:b/>
          <w:sz w:val="22"/>
          <w:szCs w:val="22"/>
        </w:rPr>
      </w:pPr>
    </w:p>
    <w:sectPr w:rsidR="008A2B95" w:rsidRPr="00F9625C" w:rsidSect="001416C0">
      <w:headerReference w:type="default" r:id="rId14"/>
      <w:footerReference w:type="default" r:id="rId15"/>
      <w:pgSz w:w="11906" w:h="16838"/>
      <w:pgMar w:top="1417" w:right="1701" w:bottom="1417" w:left="1701" w:header="708" w:footer="459" w:gutter="0"/>
      <w:pgNumType w:start="3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6992C" w14:textId="77777777" w:rsidR="000F51E6" w:rsidRDefault="000F51E6">
      <w:pPr>
        <w:spacing w:line="240" w:lineRule="auto"/>
      </w:pPr>
      <w:r>
        <w:separator/>
      </w:r>
    </w:p>
  </w:endnote>
  <w:endnote w:type="continuationSeparator" w:id="0">
    <w:p w14:paraId="18678130" w14:textId="77777777" w:rsidR="000F51E6" w:rsidRDefault="000F51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Minion Pro">
    <w:altName w:val="Cambria Math"/>
    <w:panose1 w:val="00000000000000000000"/>
    <w:charset w:val="00"/>
    <w:family w:val="roman"/>
    <w:notTrueType/>
    <w:pitch w:val="variable"/>
    <w:sig w:usb0="00000001" w:usb1="00000001" w:usb2="00000000" w:usb3="00000000" w:csb0="0000019F" w:csb1="00000000"/>
  </w:font>
  <w:font w:name="Zizou Slab Regular">
    <w:altName w:val="Cambria"/>
    <w:panose1 w:val="00000000000000000000"/>
    <w:charset w:val="00"/>
    <w:family w:val="roman"/>
    <w:notTrueType/>
    <w:pitch w:val="default"/>
    <w:sig w:usb0="00000003" w:usb1="00000000" w:usb2="00000000" w:usb3="00000000" w:csb0="00000001" w:csb1="00000000"/>
  </w:font>
  <w:font w:name="Helvetica LT Std Light">
    <w:altName w:val="Arial"/>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JLFMN+Arial">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79285" w14:textId="68BB8DE0" w:rsidR="00776E01" w:rsidRPr="009813CF" w:rsidRDefault="00776E01" w:rsidP="009813CF">
    <w:pPr>
      <w:jc w:val="left"/>
      <w:rPr>
        <w:rFonts w:ascii="Calibri" w:eastAsia="Calibri" w:hAnsi="Calibri" w:cs="Calibri"/>
        <w:sz w:val="18"/>
        <w:szCs w:val="18"/>
      </w:rPr>
    </w:pPr>
    <w:r>
      <w:rPr>
        <w:rFonts w:ascii="Calibri" w:eastAsia="Calibri" w:hAnsi="Calibri" w:cs="Calibri"/>
        <w:b/>
        <w:color w:val="00B0F0"/>
        <w:sz w:val="18"/>
        <w:szCs w:val="18"/>
      </w:rPr>
      <w:t xml:space="preserve">REVISTA IGOBERNANZA </w:t>
    </w:r>
    <w:r>
      <w:rPr>
        <w:rFonts w:ascii="Calibri" w:eastAsia="Calibri" w:hAnsi="Calibri" w:cs="Calibri"/>
        <w:sz w:val="18"/>
        <w:szCs w:val="18"/>
      </w:rPr>
      <w:t>/ VOL. 9 N ° 3</w:t>
    </w:r>
    <w:r w:rsidR="00A42676">
      <w:rPr>
        <w:rFonts w:ascii="Calibri" w:eastAsia="Calibri" w:hAnsi="Calibri" w:cs="Calibri"/>
        <w:sz w:val="18"/>
        <w:szCs w:val="18"/>
      </w:rPr>
      <w:t>5</w:t>
    </w:r>
    <w:r>
      <w:rPr>
        <w:rFonts w:ascii="Calibri" w:eastAsia="Calibri" w:hAnsi="Calibri" w:cs="Calibri"/>
        <w:sz w:val="18"/>
        <w:szCs w:val="18"/>
      </w:rPr>
      <w:t xml:space="preserve"> - </w:t>
    </w:r>
    <w:r w:rsidR="00A42676">
      <w:rPr>
        <w:rFonts w:ascii="Calibri" w:eastAsia="Calibri" w:hAnsi="Calibri" w:cs="Calibri"/>
        <w:sz w:val="18"/>
        <w:szCs w:val="18"/>
      </w:rPr>
      <w:t>SETIEMBRE</w:t>
    </w:r>
    <w:r>
      <w:rPr>
        <w:rFonts w:ascii="Calibri" w:eastAsia="Calibri" w:hAnsi="Calibri" w:cs="Calibri"/>
        <w:sz w:val="18"/>
        <w:szCs w:val="18"/>
      </w:rPr>
      <w:t xml:space="preserve"> 2026</w:t>
    </w:r>
    <w:r>
      <w:rPr>
        <w:rFonts w:ascii="Calibri" w:eastAsia="Calibri" w:hAnsi="Calibri" w:cs="Calibri"/>
        <w:sz w:val="18"/>
        <w:szCs w:val="18"/>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w:t>
    </w:r>
    <w:r w:rsidRPr="00C75F54">
      <w:rPr>
        <w:rFonts w:ascii="Calibri" w:eastAsia="Calibri" w:hAnsi="Calibri" w:cs="Calibri"/>
        <w:sz w:val="20"/>
        <w:szCs w:val="20"/>
      </w:rPr>
      <w:fldChar w:fldCharType="begin"/>
    </w:r>
    <w:r w:rsidRPr="00C75F54">
      <w:rPr>
        <w:rFonts w:ascii="Calibri" w:eastAsia="Calibri" w:hAnsi="Calibri" w:cs="Calibri"/>
        <w:sz w:val="20"/>
        <w:szCs w:val="20"/>
      </w:rPr>
      <w:instrText>PAGE</w:instrText>
    </w:r>
    <w:r w:rsidRPr="00C75F54">
      <w:rPr>
        <w:rFonts w:ascii="Calibri" w:eastAsia="Calibri" w:hAnsi="Calibri" w:cs="Calibri"/>
        <w:sz w:val="20"/>
        <w:szCs w:val="20"/>
      </w:rPr>
      <w:fldChar w:fldCharType="separate"/>
    </w:r>
    <w:r w:rsidR="00151408">
      <w:rPr>
        <w:rFonts w:ascii="Calibri" w:eastAsia="Calibri" w:hAnsi="Calibri" w:cs="Calibri"/>
        <w:noProof/>
        <w:sz w:val="20"/>
        <w:szCs w:val="20"/>
      </w:rPr>
      <w:t>35</w:t>
    </w:r>
    <w:r w:rsidRPr="00C75F54">
      <w:rPr>
        <w:rFonts w:ascii="Calibri" w:eastAsia="Calibri" w:hAnsi="Calibri" w:cs="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036383" w14:textId="77777777" w:rsidR="000F51E6" w:rsidRDefault="000F51E6">
      <w:pPr>
        <w:spacing w:line="240" w:lineRule="auto"/>
      </w:pPr>
      <w:r>
        <w:separator/>
      </w:r>
    </w:p>
  </w:footnote>
  <w:footnote w:type="continuationSeparator" w:id="0">
    <w:p w14:paraId="0DFFD6BB" w14:textId="77777777" w:rsidR="000F51E6" w:rsidRDefault="000F51E6">
      <w:pPr>
        <w:spacing w:line="240" w:lineRule="auto"/>
      </w:pPr>
      <w:r>
        <w:continuationSeparator/>
      </w:r>
    </w:p>
  </w:footnote>
  <w:footnote w:id="1">
    <w:p w14:paraId="4F6C2874" w14:textId="29676EDA" w:rsidR="00C075BC" w:rsidRPr="00776E01" w:rsidRDefault="00C075BC" w:rsidP="00C075BC">
      <w:pPr>
        <w:pBdr>
          <w:top w:val="nil"/>
          <w:left w:val="nil"/>
          <w:bottom w:val="nil"/>
          <w:right w:val="nil"/>
          <w:between w:val="nil"/>
        </w:pBdr>
        <w:spacing w:line="276" w:lineRule="auto"/>
        <w:rPr>
          <w:color w:val="000000"/>
          <w:sz w:val="14"/>
          <w:szCs w:val="14"/>
        </w:rPr>
      </w:pPr>
      <w:r w:rsidRPr="00776E01">
        <w:rPr>
          <w:sz w:val="14"/>
          <w:szCs w:val="14"/>
          <w:vertAlign w:val="superscript"/>
        </w:rPr>
        <w:footnoteRef/>
      </w:r>
      <w:r w:rsidRPr="00776E01">
        <w:rPr>
          <w:color w:val="000000"/>
          <w:sz w:val="14"/>
          <w:szCs w:val="14"/>
        </w:rPr>
        <w:t xml:space="preserve"> </w:t>
      </w:r>
      <w:r w:rsidRPr="00C075BC">
        <w:rPr>
          <w:color w:val="000000"/>
          <w:sz w:val="14"/>
          <w:szCs w:val="14"/>
        </w:rPr>
        <w:t xml:space="preserve">Universidad </w:t>
      </w:r>
      <w:r>
        <w:rPr>
          <w:color w:val="000000"/>
          <w:sz w:val="14"/>
          <w:szCs w:val="14"/>
        </w:rPr>
        <w:t xml:space="preserve">Nacional Mayor de San Marcos. ORCID: </w:t>
      </w:r>
      <w:hyperlink r:id="rId1" w:history="1">
        <w:r w:rsidRPr="007A6CD0">
          <w:rPr>
            <w:rStyle w:val="Hipervnculo"/>
            <w:sz w:val="14"/>
            <w:szCs w:val="14"/>
          </w:rPr>
          <w:t>https://orcid.org/0000-0001-9981-073X</w:t>
        </w:r>
      </w:hyperlink>
      <w:r>
        <w:rPr>
          <w:color w:val="000000"/>
          <w:sz w:val="14"/>
          <w:szCs w:val="14"/>
        </w:rPr>
        <w:t xml:space="preserve"> </w:t>
      </w:r>
    </w:p>
  </w:footnote>
  <w:footnote w:id="2">
    <w:p w14:paraId="4429EF01" w14:textId="24ECC3DE" w:rsidR="00C075BC" w:rsidRPr="00776E01" w:rsidRDefault="00C075BC" w:rsidP="0032387D">
      <w:pPr>
        <w:pStyle w:val="Textonotapie"/>
        <w:spacing w:line="276" w:lineRule="auto"/>
        <w:rPr>
          <w:color w:val="000000"/>
          <w:sz w:val="14"/>
          <w:szCs w:val="14"/>
        </w:rPr>
      </w:pPr>
      <w:r w:rsidRPr="00776E01">
        <w:rPr>
          <w:color w:val="000000"/>
          <w:sz w:val="14"/>
          <w:szCs w:val="14"/>
          <w:vertAlign w:val="superscript"/>
        </w:rPr>
        <w:footnoteRef/>
      </w:r>
      <w:r w:rsidRPr="00776E01">
        <w:rPr>
          <w:color w:val="000000"/>
          <w:sz w:val="14"/>
          <w:szCs w:val="14"/>
          <w:vertAlign w:val="superscript"/>
        </w:rPr>
        <w:t xml:space="preserve"> </w:t>
      </w:r>
      <w:r>
        <w:rPr>
          <w:color w:val="000000"/>
          <w:sz w:val="14"/>
          <w:szCs w:val="14"/>
          <w:vertAlign w:val="superscript"/>
        </w:rPr>
        <w:t xml:space="preserve"> </w:t>
      </w:r>
      <w:r w:rsidRPr="00C075BC">
        <w:rPr>
          <w:color w:val="000000"/>
          <w:sz w:val="14"/>
          <w:szCs w:val="14"/>
        </w:rPr>
        <w:t>Universidad de San Carlos de Guatemala, Centro Universitario de Occidente; ORC</w:t>
      </w:r>
      <w:r>
        <w:rPr>
          <w:color w:val="000000"/>
          <w:sz w:val="14"/>
          <w:szCs w:val="14"/>
        </w:rPr>
        <w:t xml:space="preserve">ID: </w:t>
      </w:r>
      <w:hyperlink r:id="rId2" w:history="1">
        <w:r w:rsidRPr="007A6CD0">
          <w:rPr>
            <w:rStyle w:val="Hipervnculo"/>
            <w:sz w:val="14"/>
            <w:szCs w:val="14"/>
          </w:rPr>
          <w:t>https://orcid.org/0009-0006-0791-0930</w:t>
        </w:r>
      </w:hyperlink>
      <w:r>
        <w:rPr>
          <w:color w:val="000000"/>
          <w:sz w:val="14"/>
          <w:szCs w:val="14"/>
        </w:rPr>
        <w:t xml:space="preserve"> </w:t>
      </w:r>
    </w:p>
  </w:footnote>
  <w:footnote w:id="3">
    <w:p w14:paraId="4FFFBE45" w14:textId="198AFEE2" w:rsidR="00C075BC" w:rsidRPr="00C075BC" w:rsidRDefault="00C075BC" w:rsidP="00C075BC">
      <w:pPr>
        <w:pBdr>
          <w:top w:val="nil"/>
          <w:left w:val="nil"/>
          <w:bottom w:val="nil"/>
          <w:right w:val="nil"/>
          <w:between w:val="nil"/>
        </w:pBdr>
        <w:spacing w:line="276" w:lineRule="auto"/>
        <w:rPr>
          <w:color w:val="000000"/>
          <w:sz w:val="14"/>
          <w:szCs w:val="14"/>
          <w:vertAlign w:val="superscript"/>
        </w:rPr>
      </w:pPr>
      <w:r w:rsidRPr="00C075BC">
        <w:rPr>
          <w:color w:val="000000"/>
          <w:sz w:val="14"/>
          <w:szCs w:val="14"/>
          <w:vertAlign w:val="superscript"/>
        </w:rPr>
        <w:footnoteRef/>
      </w:r>
      <w:r w:rsidRPr="00C075BC">
        <w:rPr>
          <w:color w:val="000000"/>
          <w:sz w:val="14"/>
          <w:szCs w:val="14"/>
          <w:vertAlign w:val="superscript"/>
        </w:rPr>
        <w:t xml:space="preserve"> </w:t>
      </w:r>
      <w:r w:rsidRPr="00C075BC">
        <w:rPr>
          <w:color w:val="000000"/>
          <w:sz w:val="14"/>
          <w:szCs w:val="14"/>
        </w:rPr>
        <w:t>Universidad de San Carlos de Guatemala, Centro Universitario de Occidente; ORC</w:t>
      </w:r>
      <w:r>
        <w:rPr>
          <w:color w:val="000000"/>
          <w:sz w:val="14"/>
          <w:szCs w:val="14"/>
        </w:rPr>
        <w:t xml:space="preserve">ID: </w:t>
      </w:r>
      <w:hyperlink r:id="rId3" w:history="1">
        <w:r w:rsidRPr="007A6CD0">
          <w:rPr>
            <w:rStyle w:val="Hipervnculo"/>
            <w:sz w:val="14"/>
            <w:szCs w:val="14"/>
          </w:rPr>
          <w:t>https://orcid.org/0009-0009-6247-8951</w:t>
        </w:r>
      </w:hyperlink>
      <w:r>
        <w:rPr>
          <w:color w:val="000000"/>
          <w:sz w:val="14"/>
          <w:szCs w:val="14"/>
        </w:rPr>
        <w:t xml:space="preserve"> </w:t>
      </w:r>
    </w:p>
  </w:footnote>
  <w:footnote w:id="4">
    <w:p w14:paraId="3760BF8D" w14:textId="4D6EAC82" w:rsidR="00C075BC" w:rsidRPr="00C075BC" w:rsidRDefault="00C075BC" w:rsidP="00C075BC">
      <w:pPr>
        <w:pBdr>
          <w:top w:val="nil"/>
          <w:left w:val="nil"/>
          <w:bottom w:val="nil"/>
          <w:right w:val="nil"/>
          <w:between w:val="nil"/>
        </w:pBdr>
        <w:spacing w:line="276" w:lineRule="auto"/>
        <w:rPr>
          <w:color w:val="000000"/>
          <w:sz w:val="14"/>
          <w:szCs w:val="14"/>
          <w:vertAlign w:val="superscript"/>
        </w:rPr>
      </w:pPr>
      <w:r w:rsidRPr="00C075BC">
        <w:rPr>
          <w:color w:val="000000"/>
          <w:sz w:val="14"/>
          <w:szCs w:val="14"/>
          <w:vertAlign w:val="superscript"/>
        </w:rPr>
        <w:footnoteRef/>
      </w:r>
      <w:r w:rsidRPr="00C075BC">
        <w:rPr>
          <w:color w:val="000000"/>
          <w:sz w:val="14"/>
          <w:szCs w:val="14"/>
          <w:vertAlign w:val="superscript"/>
        </w:rPr>
        <w:t xml:space="preserve"> </w:t>
      </w:r>
      <w:r w:rsidRPr="00C075BC">
        <w:rPr>
          <w:color w:val="000000"/>
          <w:sz w:val="14"/>
          <w:szCs w:val="14"/>
        </w:rPr>
        <w:t>Universidad de San Carlos de Guatemala, Centro Universitario de Occidente; ORC</w:t>
      </w:r>
    </w:p>
  </w:footnote>
  <w:footnote w:id="5">
    <w:p w14:paraId="5EC654EA" w14:textId="122CA44C" w:rsidR="00C075BC" w:rsidRPr="00C075BC" w:rsidRDefault="00C075BC" w:rsidP="00C075BC">
      <w:pPr>
        <w:pBdr>
          <w:top w:val="nil"/>
          <w:left w:val="nil"/>
          <w:bottom w:val="nil"/>
          <w:right w:val="nil"/>
          <w:between w:val="nil"/>
        </w:pBdr>
        <w:spacing w:line="276" w:lineRule="auto"/>
        <w:rPr>
          <w:color w:val="000000"/>
          <w:sz w:val="14"/>
          <w:szCs w:val="14"/>
          <w:vertAlign w:val="superscript"/>
        </w:rPr>
      </w:pPr>
      <w:r w:rsidRPr="00C075BC">
        <w:rPr>
          <w:color w:val="000000"/>
          <w:sz w:val="14"/>
          <w:szCs w:val="14"/>
          <w:vertAlign w:val="superscript"/>
        </w:rPr>
        <w:footnoteRef/>
      </w:r>
      <w:r w:rsidRPr="00C075BC">
        <w:rPr>
          <w:color w:val="000000"/>
          <w:sz w:val="14"/>
          <w:szCs w:val="14"/>
          <w:vertAlign w:val="superscript"/>
        </w:rPr>
        <w:t xml:space="preserve"> </w:t>
      </w:r>
      <w:r w:rsidRPr="00C075BC">
        <w:rPr>
          <w:color w:val="000000"/>
          <w:sz w:val="14"/>
          <w:szCs w:val="14"/>
        </w:rPr>
        <w:t>Pontificia Universidad Católica del Perú</w:t>
      </w:r>
      <w:r>
        <w:rPr>
          <w:color w:val="000000"/>
          <w:sz w:val="14"/>
          <w:szCs w:val="14"/>
        </w:rPr>
        <w:t xml:space="preserve">. </w:t>
      </w:r>
      <w:r w:rsidRPr="00C075BC">
        <w:rPr>
          <w:color w:val="000000"/>
          <w:sz w:val="14"/>
          <w:szCs w:val="14"/>
        </w:rPr>
        <w:t>ORCID:</w:t>
      </w:r>
      <w:r>
        <w:rPr>
          <w:color w:val="000000"/>
          <w:sz w:val="14"/>
          <w:szCs w:val="14"/>
        </w:rPr>
        <w:t xml:space="preserve"> </w:t>
      </w:r>
      <w:r w:rsidRPr="001416C0">
        <w:rPr>
          <w:rStyle w:val="Hipervnculo"/>
          <w:sz w:val="14"/>
          <w:szCs w:val="14"/>
        </w:rPr>
        <w:t>https://orcid.org/0009-0003-4899-4913</w:t>
      </w:r>
      <w:r w:rsidR="001416C0">
        <w:rPr>
          <w:rStyle w:val="Hipervnculo"/>
          <w:sz w:val="14"/>
          <w:szCs w:val="14"/>
        </w:rPr>
        <w:t xml:space="preserve"> </w:t>
      </w:r>
      <w:r>
        <w:rPr>
          <w:color w:val="000000"/>
          <w:sz w:val="14"/>
          <w:szCs w:val="1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E73D0" w14:textId="3504B7C3" w:rsidR="006F0F84" w:rsidRDefault="006F0F84" w:rsidP="006F0F84">
    <w:pPr>
      <w:spacing w:line="276" w:lineRule="auto"/>
      <w:jc w:val="center"/>
      <w:rPr>
        <w:i/>
        <w:iCs/>
        <w:sz w:val="16"/>
        <w:szCs w:val="16"/>
      </w:rPr>
    </w:pPr>
    <w:r w:rsidRPr="006F0F84">
      <w:rPr>
        <w:i/>
        <w:iCs/>
        <w:sz w:val="16"/>
        <w:szCs w:val="16"/>
      </w:rPr>
      <w:t>Doris SÁNCHEZ</w:t>
    </w:r>
    <w:r>
      <w:rPr>
        <w:i/>
        <w:iCs/>
        <w:sz w:val="16"/>
        <w:szCs w:val="16"/>
      </w:rPr>
      <w:t xml:space="preserve">; </w:t>
    </w:r>
    <w:r w:rsidRPr="006F0F84">
      <w:rPr>
        <w:i/>
        <w:iCs/>
        <w:sz w:val="16"/>
        <w:szCs w:val="16"/>
      </w:rPr>
      <w:t>Cesar MILIAN</w:t>
    </w:r>
    <w:r>
      <w:rPr>
        <w:i/>
        <w:iCs/>
        <w:sz w:val="16"/>
        <w:szCs w:val="16"/>
      </w:rPr>
      <w:t xml:space="preserve">; </w:t>
    </w:r>
    <w:r w:rsidRPr="006F0F84">
      <w:rPr>
        <w:i/>
        <w:iCs/>
        <w:sz w:val="16"/>
        <w:szCs w:val="16"/>
      </w:rPr>
      <w:t>Gustavo REYNA</w:t>
    </w:r>
    <w:r>
      <w:rPr>
        <w:i/>
        <w:iCs/>
        <w:sz w:val="16"/>
        <w:szCs w:val="16"/>
      </w:rPr>
      <w:t>;</w:t>
    </w:r>
    <w:r w:rsidRPr="006F0F84">
      <w:rPr>
        <w:i/>
        <w:iCs/>
        <w:sz w:val="16"/>
        <w:szCs w:val="16"/>
      </w:rPr>
      <w:t xml:space="preserve"> Rony HIPP REYNA</w:t>
    </w:r>
    <w:r w:rsidR="00A80419">
      <w:rPr>
        <w:i/>
        <w:iCs/>
        <w:sz w:val="16"/>
        <w:szCs w:val="16"/>
      </w:rPr>
      <w:t xml:space="preserve">; </w:t>
    </w:r>
    <w:r w:rsidR="00A80419" w:rsidRPr="006F0F84">
      <w:rPr>
        <w:i/>
        <w:iCs/>
        <w:sz w:val="16"/>
        <w:szCs w:val="16"/>
      </w:rPr>
      <w:t>Xavier ROMERO</w:t>
    </w:r>
    <w:r w:rsidRPr="006F0F84">
      <w:rPr>
        <w:i/>
        <w:iCs/>
        <w:sz w:val="16"/>
        <w:szCs w:val="16"/>
      </w:rPr>
      <w:t xml:space="preserve">  </w:t>
    </w:r>
    <w:r>
      <w:rPr>
        <w:i/>
        <w:iCs/>
        <w:sz w:val="16"/>
        <w:szCs w:val="16"/>
      </w:rPr>
      <w:t xml:space="preserve"> </w:t>
    </w:r>
  </w:p>
  <w:p w14:paraId="5026F38C" w14:textId="4C5BBDFB" w:rsidR="006F0F84" w:rsidRDefault="006F0F84" w:rsidP="006F0F84">
    <w:pPr>
      <w:spacing w:line="276" w:lineRule="auto"/>
      <w:jc w:val="center"/>
      <w:rPr>
        <w:i/>
        <w:iCs/>
        <w:sz w:val="16"/>
        <w:szCs w:val="16"/>
      </w:rPr>
    </w:pPr>
    <w:r w:rsidRPr="006F0F84">
      <w:rPr>
        <w:i/>
        <w:iCs/>
        <w:sz w:val="16"/>
        <w:szCs w:val="16"/>
      </w:rPr>
      <w:t>DERECHOS DE LA NATURALEZA Y MINERÍA ILEGAL.</w:t>
    </w:r>
    <w:r w:rsidR="00F9625C">
      <w:rPr>
        <w:i/>
        <w:iCs/>
        <w:sz w:val="16"/>
        <w:szCs w:val="16"/>
      </w:rPr>
      <w:t xml:space="preserve"> </w:t>
    </w:r>
    <w:r w:rsidRPr="006F0F84">
      <w:rPr>
        <w:i/>
        <w:iCs/>
        <w:sz w:val="16"/>
        <w:szCs w:val="16"/>
      </w:rPr>
      <w:t>UN ANÁLISIS CRÍTICO DE ESTUDIOS PREVIOS.</w:t>
    </w:r>
  </w:p>
  <w:p w14:paraId="0317B8B0" w14:textId="7E91A89D" w:rsidR="00776E01" w:rsidRPr="004D74FF" w:rsidRDefault="00776E01" w:rsidP="006F0F84">
    <w:pPr>
      <w:spacing w:line="276" w:lineRule="auto"/>
      <w:jc w:val="center"/>
      <w:rPr>
        <w:i/>
        <w:iCs/>
        <w:color w:val="000000"/>
        <w:sz w:val="16"/>
        <w:szCs w:val="16"/>
      </w:rPr>
    </w:pPr>
    <w:r>
      <w:rPr>
        <w:i/>
        <w:iCs/>
        <w:color w:val="000000"/>
        <w:sz w:val="16"/>
        <w:szCs w:val="16"/>
      </w:rPr>
      <w:t>R</w:t>
    </w:r>
    <w:r w:rsidRPr="004D74FF">
      <w:rPr>
        <w:i/>
        <w:iCs/>
        <w:color w:val="000000"/>
        <w:sz w:val="16"/>
        <w:szCs w:val="16"/>
      </w:rPr>
      <w:t xml:space="preserve">ev. Igobernanza. </w:t>
    </w:r>
    <w:r w:rsidR="00A42676">
      <w:rPr>
        <w:i/>
        <w:iCs/>
        <w:color w:val="000000"/>
        <w:sz w:val="16"/>
        <w:szCs w:val="16"/>
      </w:rPr>
      <w:t xml:space="preserve">Setiembre </w:t>
    </w:r>
    <w:r>
      <w:rPr>
        <w:i/>
        <w:iCs/>
        <w:color w:val="000000"/>
        <w:sz w:val="16"/>
        <w:szCs w:val="16"/>
      </w:rPr>
      <w:t>2026 -</w:t>
    </w:r>
    <w:r w:rsidRPr="004D74FF">
      <w:rPr>
        <w:i/>
        <w:iCs/>
        <w:color w:val="000000"/>
        <w:sz w:val="16"/>
        <w:szCs w:val="16"/>
      </w:rPr>
      <w:t xml:space="preserve"> Vol.</w:t>
    </w:r>
    <w:r>
      <w:rPr>
        <w:i/>
        <w:iCs/>
        <w:color w:val="000000"/>
        <w:sz w:val="16"/>
        <w:szCs w:val="16"/>
      </w:rPr>
      <w:t>9 / n°3</w:t>
    </w:r>
    <w:r w:rsidR="00A42676">
      <w:rPr>
        <w:i/>
        <w:iCs/>
        <w:color w:val="000000"/>
        <w:sz w:val="16"/>
        <w:szCs w:val="16"/>
      </w:rPr>
      <w:t>5</w:t>
    </w:r>
    <w:r w:rsidRPr="004D74FF">
      <w:rPr>
        <w:i/>
        <w:iCs/>
        <w:color w:val="000000"/>
        <w:sz w:val="16"/>
        <w:szCs w:val="16"/>
      </w:rPr>
      <w:t>, pp</w:t>
    </w:r>
    <w:r w:rsidR="00120CFA">
      <w:rPr>
        <w:i/>
        <w:iCs/>
        <w:color w:val="000000"/>
        <w:sz w:val="16"/>
        <w:szCs w:val="16"/>
      </w:rPr>
      <w:t xml:space="preserve">. </w:t>
    </w:r>
    <w:r w:rsidR="001416C0">
      <w:rPr>
        <w:i/>
        <w:iCs/>
        <w:color w:val="000000"/>
        <w:sz w:val="16"/>
        <w:szCs w:val="16"/>
      </w:rPr>
      <w:t>35</w:t>
    </w:r>
    <w:r w:rsidR="00120CFA">
      <w:rPr>
        <w:i/>
        <w:iCs/>
        <w:color w:val="000000"/>
        <w:sz w:val="16"/>
        <w:szCs w:val="16"/>
      </w:rPr>
      <w:t xml:space="preserve"> – </w:t>
    </w:r>
    <w:r w:rsidR="00151408">
      <w:rPr>
        <w:i/>
        <w:iCs/>
        <w:color w:val="000000"/>
        <w:sz w:val="16"/>
        <w:szCs w:val="16"/>
      </w:rPr>
      <w:t>69</w:t>
    </w:r>
    <w:r w:rsidR="00A42676">
      <w:rPr>
        <w:i/>
        <w:iCs/>
        <w:color w:val="000000"/>
        <w:sz w:val="16"/>
        <w:szCs w:val="16"/>
      </w:rPr>
      <w:t xml:space="preserve">. </w:t>
    </w:r>
    <w:r w:rsidRPr="004D74FF">
      <w:rPr>
        <w:i/>
        <w:iCs/>
        <w:color w:val="000000"/>
        <w:sz w:val="16"/>
        <w:szCs w:val="16"/>
      </w:rPr>
      <w:t xml:space="preserve">ISSN: 2617-619X. </w:t>
    </w:r>
  </w:p>
  <w:p w14:paraId="01132DD4" w14:textId="3226E7D6" w:rsidR="00776E01" w:rsidRDefault="00776E01" w:rsidP="009D225F">
    <w:pPr>
      <w:pBdr>
        <w:top w:val="nil"/>
        <w:left w:val="nil"/>
        <w:bottom w:val="nil"/>
        <w:right w:val="nil"/>
        <w:between w:val="nil"/>
      </w:pBdr>
      <w:tabs>
        <w:tab w:val="center" w:pos="4252"/>
        <w:tab w:val="right" w:pos="8504"/>
      </w:tabs>
      <w:spacing w:line="276" w:lineRule="auto"/>
      <w:jc w:val="center"/>
      <w:rPr>
        <w:i/>
        <w:iCs/>
        <w:color w:val="000000"/>
        <w:sz w:val="16"/>
        <w:szCs w:val="16"/>
      </w:rPr>
    </w:pPr>
    <w:r w:rsidRPr="004D74FF">
      <w:rPr>
        <w:i/>
        <w:iCs/>
        <w:color w:val="000000"/>
        <w:sz w:val="16"/>
        <w:szCs w:val="16"/>
      </w:rPr>
      <w:t>DOI:</w:t>
    </w:r>
    <w:r w:rsidR="0032387D">
      <w:rPr>
        <w:i/>
        <w:iCs/>
        <w:color w:val="000000"/>
        <w:sz w:val="16"/>
        <w:szCs w:val="16"/>
      </w:rPr>
      <w:t xml:space="preserve"> </w:t>
    </w:r>
    <w:hyperlink r:id="rId1" w:history="1"/>
    <w:r w:rsidR="00A42676">
      <w:t xml:space="preserve">  </w:t>
    </w:r>
    <w:r w:rsidR="0032387D">
      <w:rPr>
        <w:i/>
        <w:iCs/>
        <w:color w:val="000000"/>
        <w:sz w:val="16"/>
        <w:szCs w:val="16"/>
      </w:rPr>
      <w:t xml:space="preserve"> </w:t>
    </w:r>
  </w:p>
  <w:p w14:paraId="34F97A32" w14:textId="77777777" w:rsidR="009D225F" w:rsidRPr="009D225F" w:rsidRDefault="009D225F" w:rsidP="009D225F">
    <w:pPr>
      <w:pBdr>
        <w:top w:val="nil"/>
        <w:left w:val="nil"/>
        <w:bottom w:val="nil"/>
        <w:right w:val="nil"/>
        <w:between w:val="nil"/>
      </w:pBdr>
      <w:tabs>
        <w:tab w:val="center" w:pos="4252"/>
        <w:tab w:val="right" w:pos="8504"/>
      </w:tabs>
      <w:spacing w:line="276" w:lineRule="auto"/>
      <w:jc w:val="center"/>
      <w:rPr>
        <w:i/>
        <w:iCs/>
        <w:color w:val="00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77128FBA"/>
    <w:lvl w:ilvl="0">
      <w:start w:val="1"/>
      <w:numFmt w:val="decimal"/>
      <w:pStyle w:val="Listaconnmeros"/>
      <w:lvlText w:val="%1."/>
      <w:lvlJc w:val="left"/>
      <w:pPr>
        <w:tabs>
          <w:tab w:val="num" w:pos="360"/>
        </w:tabs>
        <w:ind w:left="360" w:hanging="360"/>
      </w:pPr>
    </w:lvl>
  </w:abstractNum>
  <w:abstractNum w:abstractNumId="1" w15:restartNumberingAfterBreak="0">
    <w:nsid w:val="FFFFFF89"/>
    <w:multiLevelType w:val="singleLevel"/>
    <w:tmpl w:val="E976E4F2"/>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43D4312"/>
    <w:multiLevelType w:val="multilevel"/>
    <w:tmpl w:val="93F47FA8"/>
    <w:lvl w:ilvl="0">
      <w:start w:val="1"/>
      <w:numFmt w:val="decimal"/>
      <w:pStyle w:val="Tabla"/>
      <w:lvlText w:val="Tabla %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B525C8"/>
    <w:multiLevelType w:val="multilevel"/>
    <w:tmpl w:val="57501010"/>
    <w:lvl w:ilvl="0">
      <w:start w:val="1"/>
      <w:numFmt w:val="upperLetter"/>
      <w:lvlText w:val="%1."/>
      <w:lvlJc w:val="left"/>
      <w:pPr>
        <w:ind w:left="2495" w:hanging="360"/>
      </w:pPr>
    </w:lvl>
    <w:lvl w:ilvl="1">
      <w:start w:val="1"/>
      <w:numFmt w:val="lowerLetter"/>
      <w:lvlText w:val="%2."/>
      <w:lvlJc w:val="left"/>
      <w:pPr>
        <w:ind w:left="3215" w:hanging="360"/>
      </w:pPr>
    </w:lvl>
    <w:lvl w:ilvl="2">
      <w:start w:val="1"/>
      <w:numFmt w:val="lowerRoman"/>
      <w:pStyle w:val="Estilo3"/>
      <w:lvlText w:val="%3."/>
      <w:lvlJc w:val="right"/>
      <w:pPr>
        <w:ind w:left="3935" w:hanging="180"/>
      </w:pPr>
    </w:lvl>
    <w:lvl w:ilvl="3">
      <w:start w:val="1"/>
      <w:numFmt w:val="decimal"/>
      <w:lvlText w:val="%4."/>
      <w:lvlJc w:val="left"/>
      <w:pPr>
        <w:ind w:left="4655" w:hanging="360"/>
      </w:pPr>
    </w:lvl>
    <w:lvl w:ilvl="4">
      <w:start w:val="1"/>
      <w:numFmt w:val="lowerLetter"/>
      <w:lvlText w:val="%5."/>
      <w:lvlJc w:val="left"/>
      <w:pPr>
        <w:ind w:left="5375" w:hanging="360"/>
      </w:pPr>
    </w:lvl>
    <w:lvl w:ilvl="5">
      <w:start w:val="1"/>
      <w:numFmt w:val="lowerRoman"/>
      <w:lvlText w:val="%6."/>
      <w:lvlJc w:val="right"/>
      <w:pPr>
        <w:ind w:left="6095" w:hanging="180"/>
      </w:pPr>
    </w:lvl>
    <w:lvl w:ilvl="6">
      <w:start w:val="1"/>
      <w:numFmt w:val="decimal"/>
      <w:lvlText w:val="%7."/>
      <w:lvlJc w:val="left"/>
      <w:pPr>
        <w:ind w:left="6815" w:hanging="360"/>
      </w:pPr>
    </w:lvl>
    <w:lvl w:ilvl="7">
      <w:start w:val="1"/>
      <w:numFmt w:val="lowerLetter"/>
      <w:lvlText w:val="%8."/>
      <w:lvlJc w:val="left"/>
      <w:pPr>
        <w:ind w:left="7535" w:hanging="360"/>
      </w:pPr>
    </w:lvl>
    <w:lvl w:ilvl="8">
      <w:start w:val="1"/>
      <w:numFmt w:val="lowerRoman"/>
      <w:lvlText w:val="%9."/>
      <w:lvlJc w:val="right"/>
      <w:pPr>
        <w:ind w:left="8255" w:hanging="180"/>
      </w:pPr>
    </w:lvl>
  </w:abstractNum>
  <w:abstractNum w:abstractNumId="4" w15:restartNumberingAfterBreak="0">
    <w:nsid w:val="0B9E4F8F"/>
    <w:multiLevelType w:val="multilevel"/>
    <w:tmpl w:val="DFBA6F5C"/>
    <w:lvl w:ilvl="0">
      <w:start w:val="1"/>
      <w:numFmt w:val="decimal"/>
      <w:pStyle w:val="Figura"/>
      <w:lvlText w:val="Figura%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A27FD4"/>
    <w:multiLevelType w:val="hybridMultilevel"/>
    <w:tmpl w:val="483C8958"/>
    <w:lvl w:ilvl="0" w:tplc="280A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E40303"/>
    <w:multiLevelType w:val="hybridMultilevel"/>
    <w:tmpl w:val="F808FAA6"/>
    <w:lvl w:ilvl="0" w:tplc="080A0001">
      <w:start w:val="1"/>
      <w:numFmt w:val="bullet"/>
      <w:lvlText w:val=""/>
      <w:lvlJc w:val="left"/>
      <w:pPr>
        <w:ind w:left="2150" w:hanging="732"/>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30B54507"/>
    <w:multiLevelType w:val="hybridMultilevel"/>
    <w:tmpl w:val="15C6BFEE"/>
    <w:lvl w:ilvl="0" w:tplc="280A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4E719F3"/>
    <w:multiLevelType w:val="hybridMultilevel"/>
    <w:tmpl w:val="5E648F1E"/>
    <w:lvl w:ilvl="0" w:tplc="280A0001">
      <w:start w:val="1"/>
      <w:numFmt w:val="bullet"/>
      <w:lvlText w:val=""/>
      <w:lvlJc w:val="left"/>
      <w:pPr>
        <w:ind w:left="1430" w:hanging="360"/>
      </w:pPr>
      <w:rPr>
        <w:rFonts w:ascii="Symbol" w:hAnsi="Symbol" w:hint="default"/>
      </w:rPr>
    </w:lvl>
    <w:lvl w:ilvl="1" w:tplc="280A0003" w:tentative="1">
      <w:start w:val="1"/>
      <w:numFmt w:val="bullet"/>
      <w:lvlText w:val="o"/>
      <w:lvlJc w:val="left"/>
      <w:pPr>
        <w:ind w:left="2150" w:hanging="360"/>
      </w:pPr>
      <w:rPr>
        <w:rFonts w:ascii="Courier New" w:hAnsi="Courier New" w:cs="Courier New" w:hint="default"/>
      </w:rPr>
    </w:lvl>
    <w:lvl w:ilvl="2" w:tplc="280A0005" w:tentative="1">
      <w:start w:val="1"/>
      <w:numFmt w:val="bullet"/>
      <w:lvlText w:val=""/>
      <w:lvlJc w:val="left"/>
      <w:pPr>
        <w:ind w:left="2870" w:hanging="360"/>
      </w:pPr>
      <w:rPr>
        <w:rFonts w:ascii="Wingdings" w:hAnsi="Wingdings" w:hint="default"/>
      </w:rPr>
    </w:lvl>
    <w:lvl w:ilvl="3" w:tplc="280A0001" w:tentative="1">
      <w:start w:val="1"/>
      <w:numFmt w:val="bullet"/>
      <w:lvlText w:val=""/>
      <w:lvlJc w:val="left"/>
      <w:pPr>
        <w:ind w:left="3590" w:hanging="360"/>
      </w:pPr>
      <w:rPr>
        <w:rFonts w:ascii="Symbol" w:hAnsi="Symbol" w:hint="default"/>
      </w:rPr>
    </w:lvl>
    <w:lvl w:ilvl="4" w:tplc="280A0003" w:tentative="1">
      <w:start w:val="1"/>
      <w:numFmt w:val="bullet"/>
      <w:lvlText w:val="o"/>
      <w:lvlJc w:val="left"/>
      <w:pPr>
        <w:ind w:left="4310" w:hanging="360"/>
      </w:pPr>
      <w:rPr>
        <w:rFonts w:ascii="Courier New" w:hAnsi="Courier New" w:cs="Courier New" w:hint="default"/>
      </w:rPr>
    </w:lvl>
    <w:lvl w:ilvl="5" w:tplc="280A0005" w:tentative="1">
      <w:start w:val="1"/>
      <w:numFmt w:val="bullet"/>
      <w:lvlText w:val=""/>
      <w:lvlJc w:val="left"/>
      <w:pPr>
        <w:ind w:left="5030" w:hanging="360"/>
      </w:pPr>
      <w:rPr>
        <w:rFonts w:ascii="Wingdings" w:hAnsi="Wingdings" w:hint="default"/>
      </w:rPr>
    </w:lvl>
    <w:lvl w:ilvl="6" w:tplc="280A0001" w:tentative="1">
      <w:start w:val="1"/>
      <w:numFmt w:val="bullet"/>
      <w:lvlText w:val=""/>
      <w:lvlJc w:val="left"/>
      <w:pPr>
        <w:ind w:left="5750" w:hanging="360"/>
      </w:pPr>
      <w:rPr>
        <w:rFonts w:ascii="Symbol" w:hAnsi="Symbol" w:hint="default"/>
      </w:rPr>
    </w:lvl>
    <w:lvl w:ilvl="7" w:tplc="280A0003" w:tentative="1">
      <w:start w:val="1"/>
      <w:numFmt w:val="bullet"/>
      <w:lvlText w:val="o"/>
      <w:lvlJc w:val="left"/>
      <w:pPr>
        <w:ind w:left="6470" w:hanging="360"/>
      </w:pPr>
      <w:rPr>
        <w:rFonts w:ascii="Courier New" w:hAnsi="Courier New" w:cs="Courier New" w:hint="default"/>
      </w:rPr>
    </w:lvl>
    <w:lvl w:ilvl="8" w:tplc="280A0005" w:tentative="1">
      <w:start w:val="1"/>
      <w:numFmt w:val="bullet"/>
      <w:lvlText w:val=""/>
      <w:lvlJc w:val="left"/>
      <w:pPr>
        <w:ind w:left="7190" w:hanging="360"/>
      </w:pPr>
      <w:rPr>
        <w:rFonts w:ascii="Wingdings" w:hAnsi="Wingdings" w:hint="default"/>
      </w:rPr>
    </w:lvl>
  </w:abstractNum>
  <w:abstractNum w:abstractNumId="9" w15:restartNumberingAfterBreak="0">
    <w:nsid w:val="60863147"/>
    <w:multiLevelType w:val="hybridMultilevel"/>
    <w:tmpl w:val="57A2742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1B9489C"/>
    <w:multiLevelType w:val="hybridMultilevel"/>
    <w:tmpl w:val="E1FAE33A"/>
    <w:lvl w:ilvl="0" w:tplc="080A0001">
      <w:start w:val="1"/>
      <w:numFmt w:val="bullet"/>
      <w:lvlText w:val=""/>
      <w:lvlJc w:val="left"/>
      <w:pPr>
        <w:ind w:left="1441" w:hanging="732"/>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1" w15:restartNumberingAfterBreak="0">
    <w:nsid w:val="69373752"/>
    <w:multiLevelType w:val="multilevel"/>
    <w:tmpl w:val="0226D0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tulo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E034896"/>
    <w:multiLevelType w:val="hybridMultilevel"/>
    <w:tmpl w:val="1FE60904"/>
    <w:lvl w:ilvl="0" w:tplc="CF1283C8">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24760B3"/>
    <w:multiLevelType w:val="hybridMultilevel"/>
    <w:tmpl w:val="06DA3BD6"/>
    <w:lvl w:ilvl="0" w:tplc="280A0001">
      <w:start w:val="1"/>
      <w:numFmt w:val="bullet"/>
      <w:lvlText w:val=""/>
      <w:lvlJc w:val="left"/>
      <w:pPr>
        <w:ind w:left="1070"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num w:numId="1">
    <w:abstractNumId w:val="3"/>
  </w:num>
  <w:num w:numId="2">
    <w:abstractNumId w:val="11"/>
  </w:num>
  <w:num w:numId="3">
    <w:abstractNumId w:val="2"/>
  </w:num>
  <w:num w:numId="4">
    <w:abstractNumId w:val="4"/>
  </w:num>
  <w:num w:numId="5">
    <w:abstractNumId w:val="13"/>
  </w:num>
  <w:num w:numId="6">
    <w:abstractNumId w:val="6"/>
  </w:num>
  <w:num w:numId="7">
    <w:abstractNumId w:val="5"/>
  </w:num>
  <w:num w:numId="8">
    <w:abstractNumId w:val="8"/>
  </w:num>
  <w:num w:numId="9">
    <w:abstractNumId w:val="10"/>
  </w:num>
  <w:num w:numId="10">
    <w:abstractNumId w:val="7"/>
  </w:num>
  <w:num w:numId="11">
    <w:abstractNumId w:val="0"/>
  </w:num>
  <w:num w:numId="12">
    <w:abstractNumId w:val="1"/>
  </w:num>
  <w:num w:numId="13">
    <w:abstractNumId w:val="9"/>
  </w:num>
  <w:num w:numId="1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05C"/>
    <w:rsid w:val="00002F7F"/>
    <w:rsid w:val="000243DB"/>
    <w:rsid w:val="00030190"/>
    <w:rsid w:val="0003280B"/>
    <w:rsid w:val="00040D9D"/>
    <w:rsid w:val="00054EE9"/>
    <w:rsid w:val="00057A1B"/>
    <w:rsid w:val="00066001"/>
    <w:rsid w:val="000730E2"/>
    <w:rsid w:val="00082906"/>
    <w:rsid w:val="000B6F41"/>
    <w:rsid w:val="000C06C5"/>
    <w:rsid w:val="000C35F7"/>
    <w:rsid w:val="000C3F1C"/>
    <w:rsid w:val="000D063E"/>
    <w:rsid w:val="000E02EE"/>
    <w:rsid w:val="000F51E6"/>
    <w:rsid w:val="00107A64"/>
    <w:rsid w:val="001138D4"/>
    <w:rsid w:val="00120CFA"/>
    <w:rsid w:val="00124D93"/>
    <w:rsid w:val="00132D71"/>
    <w:rsid w:val="001416C0"/>
    <w:rsid w:val="00144C07"/>
    <w:rsid w:val="00151408"/>
    <w:rsid w:val="00155E3C"/>
    <w:rsid w:val="001626FB"/>
    <w:rsid w:val="00163583"/>
    <w:rsid w:val="00167734"/>
    <w:rsid w:val="00183CAD"/>
    <w:rsid w:val="00197E85"/>
    <w:rsid w:val="001A1670"/>
    <w:rsid w:val="001B276F"/>
    <w:rsid w:val="001C119B"/>
    <w:rsid w:val="001D00B9"/>
    <w:rsid w:val="001D2252"/>
    <w:rsid w:val="001D4270"/>
    <w:rsid w:val="001E0FA4"/>
    <w:rsid w:val="001E27C2"/>
    <w:rsid w:val="001E5A42"/>
    <w:rsid w:val="001E5C44"/>
    <w:rsid w:val="001F004F"/>
    <w:rsid w:val="001F2BA5"/>
    <w:rsid w:val="001F6FC2"/>
    <w:rsid w:val="001F7188"/>
    <w:rsid w:val="001F7981"/>
    <w:rsid w:val="00212DB7"/>
    <w:rsid w:val="00217F9A"/>
    <w:rsid w:val="00220F9D"/>
    <w:rsid w:val="00224CC8"/>
    <w:rsid w:val="00225F32"/>
    <w:rsid w:val="00227008"/>
    <w:rsid w:val="00230080"/>
    <w:rsid w:val="002352C7"/>
    <w:rsid w:val="00271F94"/>
    <w:rsid w:val="002725BD"/>
    <w:rsid w:val="00273B42"/>
    <w:rsid w:val="002A005C"/>
    <w:rsid w:val="002D11E9"/>
    <w:rsid w:val="002E1A27"/>
    <w:rsid w:val="002F0466"/>
    <w:rsid w:val="002F46B9"/>
    <w:rsid w:val="002F4E5B"/>
    <w:rsid w:val="002F775F"/>
    <w:rsid w:val="0030437A"/>
    <w:rsid w:val="00307418"/>
    <w:rsid w:val="00311522"/>
    <w:rsid w:val="00312BA4"/>
    <w:rsid w:val="00316375"/>
    <w:rsid w:val="00316B03"/>
    <w:rsid w:val="00320C85"/>
    <w:rsid w:val="0032387D"/>
    <w:rsid w:val="00326AD8"/>
    <w:rsid w:val="00330C2C"/>
    <w:rsid w:val="00334942"/>
    <w:rsid w:val="003349C0"/>
    <w:rsid w:val="0033535E"/>
    <w:rsid w:val="00346B58"/>
    <w:rsid w:val="0035387B"/>
    <w:rsid w:val="003615E9"/>
    <w:rsid w:val="00361D56"/>
    <w:rsid w:val="0036209F"/>
    <w:rsid w:val="00364C93"/>
    <w:rsid w:val="00367643"/>
    <w:rsid w:val="00367A06"/>
    <w:rsid w:val="0037636D"/>
    <w:rsid w:val="0038038E"/>
    <w:rsid w:val="00395D23"/>
    <w:rsid w:val="003A0FD3"/>
    <w:rsid w:val="003C6A36"/>
    <w:rsid w:val="003D0C70"/>
    <w:rsid w:val="003D2EB1"/>
    <w:rsid w:val="003D4225"/>
    <w:rsid w:val="003D69B9"/>
    <w:rsid w:val="003E59EE"/>
    <w:rsid w:val="003F74FB"/>
    <w:rsid w:val="00401211"/>
    <w:rsid w:val="00405475"/>
    <w:rsid w:val="004158B7"/>
    <w:rsid w:val="00422B41"/>
    <w:rsid w:val="0043488C"/>
    <w:rsid w:val="0044222D"/>
    <w:rsid w:val="00445622"/>
    <w:rsid w:val="00450176"/>
    <w:rsid w:val="004519BC"/>
    <w:rsid w:val="00454E07"/>
    <w:rsid w:val="004615A9"/>
    <w:rsid w:val="00473801"/>
    <w:rsid w:val="0048068A"/>
    <w:rsid w:val="004809C6"/>
    <w:rsid w:val="0048417C"/>
    <w:rsid w:val="00496132"/>
    <w:rsid w:val="004A35AD"/>
    <w:rsid w:val="004A45DC"/>
    <w:rsid w:val="004B21E3"/>
    <w:rsid w:val="004C7048"/>
    <w:rsid w:val="004D74FF"/>
    <w:rsid w:val="004E10F0"/>
    <w:rsid w:val="004F5812"/>
    <w:rsid w:val="004F5DE4"/>
    <w:rsid w:val="004F6E18"/>
    <w:rsid w:val="004F6E3F"/>
    <w:rsid w:val="004F7351"/>
    <w:rsid w:val="004F7C75"/>
    <w:rsid w:val="004F7CF2"/>
    <w:rsid w:val="005071FC"/>
    <w:rsid w:val="00510ADF"/>
    <w:rsid w:val="00515FF8"/>
    <w:rsid w:val="00517000"/>
    <w:rsid w:val="005276F7"/>
    <w:rsid w:val="00530D45"/>
    <w:rsid w:val="005427CF"/>
    <w:rsid w:val="0055341D"/>
    <w:rsid w:val="005543C4"/>
    <w:rsid w:val="00556870"/>
    <w:rsid w:val="005624C3"/>
    <w:rsid w:val="00570677"/>
    <w:rsid w:val="00570F59"/>
    <w:rsid w:val="005723AF"/>
    <w:rsid w:val="0058361D"/>
    <w:rsid w:val="00590B4F"/>
    <w:rsid w:val="0059354D"/>
    <w:rsid w:val="00594601"/>
    <w:rsid w:val="005B485C"/>
    <w:rsid w:val="005E422E"/>
    <w:rsid w:val="005F75DA"/>
    <w:rsid w:val="00601CB3"/>
    <w:rsid w:val="00604200"/>
    <w:rsid w:val="00605EC3"/>
    <w:rsid w:val="006124CE"/>
    <w:rsid w:val="00621DC9"/>
    <w:rsid w:val="0063383C"/>
    <w:rsid w:val="00636033"/>
    <w:rsid w:val="0064152E"/>
    <w:rsid w:val="006453B0"/>
    <w:rsid w:val="00676B2C"/>
    <w:rsid w:val="00687D77"/>
    <w:rsid w:val="006A04E5"/>
    <w:rsid w:val="006A33D3"/>
    <w:rsid w:val="006A518B"/>
    <w:rsid w:val="006A5368"/>
    <w:rsid w:val="006B7BA2"/>
    <w:rsid w:val="006D1294"/>
    <w:rsid w:val="006D73BC"/>
    <w:rsid w:val="006D7660"/>
    <w:rsid w:val="006E2980"/>
    <w:rsid w:val="006E658F"/>
    <w:rsid w:val="006F00C4"/>
    <w:rsid w:val="006F0F84"/>
    <w:rsid w:val="006F2783"/>
    <w:rsid w:val="006F4A79"/>
    <w:rsid w:val="006F71DE"/>
    <w:rsid w:val="00703579"/>
    <w:rsid w:val="00710880"/>
    <w:rsid w:val="00716925"/>
    <w:rsid w:val="007246AE"/>
    <w:rsid w:val="00737962"/>
    <w:rsid w:val="00745FBC"/>
    <w:rsid w:val="00750E21"/>
    <w:rsid w:val="00751605"/>
    <w:rsid w:val="007602A5"/>
    <w:rsid w:val="0076047D"/>
    <w:rsid w:val="00761BF2"/>
    <w:rsid w:val="00763CC4"/>
    <w:rsid w:val="007754A3"/>
    <w:rsid w:val="00776E01"/>
    <w:rsid w:val="00777963"/>
    <w:rsid w:val="007845DC"/>
    <w:rsid w:val="007851DA"/>
    <w:rsid w:val="00794246"/>
    <w:rsid w:val="007B4264"/>
    <w:rsid w:val="007B5889"/>
    <w:rsid w:val="007C4624"/>
    <w:rsid w:val="007E28E1"/>
    <w:rsid w:val="007E5072"/>
    <w:rsid w:val="007E57B6"/>
    <w:rsid w:val="007E753B"/>
    <w:rsid w:val="008020A6"/>
    <w:rsid w:val="0081556B"/>
    <w:rsid w:val="00837892"/>
    <w:rsid w:val="00856223"/>
    <w:rsid w:val="008768B9"/>
    <w:rsid w:val="00881208"/>
    <w:rsid w:val="00884EAA"/>
    <w:rsid w:val="00885FFF"/>
    <w:rsid w:val="008A0894"/>
    <w:rsid w:val="008A2B95"/>
    <w:rsid w:val="008B489F"/>
    <w:rsid w:val="008C0305"/>
    <w:rsid w:val="008F2622"/>
    <w:rsid w:val="00900828"/>
    <w:rsid w:val="00903CBE"/>
    <w:rsid w:val="009079C4"/>
    <w:rsid w:val="00926543"/>
    <w:rsid w:val="00927AAC"/>
    <w:rsid w:val="00936268"/>
    <w:rsid w:val="00942F2C"/>
    <w:rsid w:val="00951F86"/>
    <w:rsid w:val="00960AEF"/>
    <w:rsid w:val="00963442"/>
    <w:rsid w:val="00976459"/>
    <w:rsid w:val="009813CF"/>
    <w:rsid w:val="00982094"/>
    <w:rsid w:val="00984A8C"/>
    <w:rsid w:val="00992F2F"/>
    <w:rsid w:val="00993D35"/>
    <w:rsid w:val="009C78F5"/>
    <w:rsid w:val="009D1AA2"/>
    <w:rsid w:val="009D225F"/>
    <w:rsid w:val="009D3CE5"/>
    <w:rsid w:val="009F7B9D"/>
    <w:rsid w:val="00A00760"/>
    <w:rsid w:val="00A0460B"/>
    <w:rsid w:val="00A061BA"/>
    <w:rsid w:val="00A10C2F"/>
    <w:rsid w:val="00A11F1B"/>
    <w:rsid w:val="00A15241"/>
    <w:rsid w:val="00A1666E"/>
    <w:rsid w:val="00A16781"/>
    <w:rsid w:val="00A16B77"/>
    <w:rsid w:val="00A17786"/>
    <w:rsid w:val="00A24DC9"/>
    <w:rsid w:val="00A31898"/>
    <w:rsid w:val="00A33078"/>
    <w:rsid w:val="00A3532B"/>
    <w:rsid w:val="00A42676"/>
    <w:rsid w:val="00A47934"/>
    <w:rsid w:val="00A5206F"/>
    <w:rsid w:val="00A55B12"/>
    <w:rsid w:val="00A60ED7"/>
    <w:rsid w:val="00A64056"/>
    <w:rsid w:val="00A76279"/>
    <w:rsid w:val="00A80419"/>
    <w:rsid w:val="00A93FBC"/>
    <w:rsid w:val="00AA0586"/>
    <w:rsid w:val="00AA2137"/>
    <w:rsid w:val="00AB6E0D"/>
    <w:rsid w:val="00AD0750"/>
    <w:rsid w:val="00AE5841"/>
    <w:rsid w:val="00AE6533"/>
    <w:rsid w:val="00B0510C"/>
    <w:rsid w:val="00B07005"/>
    <w:rsid w:val="00B121CE"/>
    <w:rsid w:val="00B202B4"/>
    <w:rsid w:val="00B22EA1"/>
    <w:rsid w:val="00B32AD7"/>
    <w:rsid w:val="00B3620B"/>
    <w:rsid w:val="00B3637F"/>
    <w:rsid w:val="00B55DB6"/>
    <w:rsid w:val="00B66614"/>
    <w:rsid w:val="00B769B4"/>
    <w:rsid w:val="00B86691"/>
    <w:rsid w:val="00B918E0"/>
    <w:rsid w:val="00BB3BAA"/>
    <w:rsid w:val="00BD3D28"/>
    <w:rsid w:val="00BD7B20"/>
    <w:rsid w:val="00BE7FC1"/>
    <w:rsid w:val="00BF2C9A"/>
    <w:rsid w:val="00C03092"/>
    <w:rsid w:val="00C0676A"/>
    <w:rsid w:val="00C075BC"/>
    <w:rsid w:val="00C21D06"/>
    <w:rsid w:val="00C232D7"/>
    <w:rsid w:val="00C243D9"/>
    <w:rsid w:val="00C26470"/>
    <w:rsid w:val="00C319C5"/>
    <w:rsid w:val="00C34CB6"/>
    <w:rsid w:val="00C40B09"/>
    <w:rsid w:val="00C46784"/>
    <w:rsid w:val="00C46B31"/>
    <w:rsid w:val="00C57B88"/>
    <w:rsid w:val="00C60A52"/>
    <w:rsid w:val="00C61BE6"/>
    <w:rsid w:val="00C64C9A"/>
    <w:rsid w:val="00C72105"/>
    <w:rsid w:val="00C731BA"/>
    <w:rsid w:val="00C75F54"/>
    <w:rsid w:val="00C77C0F"/>
    <w:rsid w:val="00C819A3"/>
    <w:rsid w:val="00CD4CFE"/>
    <w:rsid w:val="00CF5079"/>
    <w:rsid w:val="00CF7F2B"/>
    <w:rsid w:val="00D0136C"/>
    <w:rsid w:val="00D22CCA"/>
    <w:rsid w:val="00D35038"/>
    <w:rsid w:val="00D350E1"/>
    <w:rsid w:val="00D375BC"/>
    <w:rsid w:val="00D427A5"/>
    <w:rsid w:val="00D44298"/>
    <w:rsid w:val="00D45ADA"/>
    <w:rsid w:val="00D46C9D"/>
    <w:rsid w:val="00D51203"/>
    <w:rsid w:val="00D54643"/>
    <w:rsid w:val="00D55427"/>
    <w:rsid w:val="00D56DC0"/>
    <w:rsid w:val="00D57AD6"/>
    <w:rsid w:val="00D612DA"/>
    <w:rsid w:val="00D65A73"/>
    <w:rsid w:val="00D66EB2"/>
    <w:rsid w:val="00D70FDD"/>
    <w:rsid w:val="00D74751"/>
    <w:rsid w:val="00D759EC"/>
    <w:rsid w:val="00D91759"/>
    <w:rsid w:val="00DA31B9"/>
    <w:rsid w:val="00DB6DF1"/>
    <w:rsid w:val="00DD199F"/>
    <w:rsid w:val="00DD6B74"/>
    <w:rsid w:val="00DE2048"/>
    <w:rsid w:val="00DF00C5"/>
    <w:rsid w:val="00DF3C85"/>
    <w:rsid w:val="00DF5D95"/>
    <w:rsid w:val="00E04F65"/>
    <w:rsid w:val="00E2238D"/>
    <w:rsid w:val="00E431BF"/>
    <w:rsid w:val="00E46D17"/>
    <w:rsid w:val="00E5051E"/>
    <w:rsid w:val="00E53591"/>
    <w:rsid w:val="00E579DB"/>
    <w:rsid w:val="00E6774C"/>
    <w:rsid w:val="00E80B68"/>
    <w:rsid w:val="00E85D08"/>
    <w:rsid w:val="00EA2EF2"/>
    <w:rsid w:val="00EA3137"/>
    <w:rsid w:val="00EB2EF2"/>
    <w:rsid w:val="00EB5C8B"/>
    <w:rsid w:val="00EB63D7"/>
    <w:rsid w:val="00EC6649"/>
    <w:rsid w:val="00EC7958"/>
    <w:rsid w:val="00EE3988"/>
    <w:rsid w:val="00EE7F32"/>
    <w:rsid w:val="00EF6FCE"/>
    <w:rsid w:val="00F030BD"/>
    <w:rsid w:val="00F03535"/>
    <w:rsid w:val="00F13D4D"/>
    <w:rsid w:val="00F17286"/>
    <w:rsid w:val="00F3718C"/>
    <w:rsid w:val="00F50504"/>
    <w:rsid w:val="00F54343"/>
    <w:rsid w:val="00F63542"/>
    <w:rsid w:val="00F63A0B"/>
    <w:rsid w:val="00F71981"/>
    <w:rsid w:val="00F7609E"/>
    <w:rsid w:val="00F77C9E"/>
    <w:rsid w:val="00F82013"/>
    <w:rsid w:val="00F9625C"/>
    <w:rsid w:val="00FA6F85"/>
    <w:rsid w:val="00FB61A1"/>
    <w:rsid w:val="00FD2AC1"/>
    <w:rsid w:val="00FE08D1"/>
    <w:rsid w:val="00FE5096"/>
    <w:rsid w:val="00FF42D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D0E2B2"/>
  <w15:docId w15:val="{96E53C0B-F53E-4563-95EF-6BCE577F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s-PE" w:eastAsia="es-PE"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E01"/>
    <w:rPr>
      <w:rFonts w:eastAsia="Times New Roman" w:cs="Times New Roman"/>
      <w:lang w:eastAsia="es-ES"/>
    </w:rPr>
  </w:style>
  <w:style w:type="paragraph" w:styleId="Ttulo1">
    <w:name w:val="heading 1"/>
    <w:basedOn w:val="Sinespaciado"/>
    <w:next w:val="Normal"/>
    <w:link w:val="Ttulo1Car"/>
    <w:uiPriority w:val="9"/>
    <w:qFormat/>
    <w:rsid w:val="001F7188"/>
    <w:pPr>
      <w:jc w:val="left"/>
      <w:outlineLvl w:val="0"/>
    </w:pPr>
    <w:rPr>
      <w:rFonts w:ascii="Arial" w:hAnsi="Arial" w:cs="Arial"/>
      <w:b/>
      <w:bCs/>
      <w:sz w:val="22"/>
      <w:szCs w:val="22"/>
    </w:rPr>
  </w:style>
  <w:style w:type="paragraph" w:styleId="Ttulo2">
    <w:name w:val="heading 2"/>
    <w:basedOn w:val="Normal"/>
    <w:next w:val="Normal"/>
    <w:link w:val="Ttulo2Car"/>
    <w:uiPriority w:val="9"/>
    <w:unhideWhenUsed/>
    <w:qFormat/>
    <w:rsid w:val="00E5572D"/>
    <w:pPr>
      <w:keepNext/>
      <w:outlineLvl w:val="1"/>
    </w:pPr>
    <w:rPr>
      <w:b/>
      <w:bCs/>
    </w:rPr>
  </w:style>
  <w:style w:type="paragraph" w:styleId="Ttulo3">
    <w:name w:val="heading 3"/>
    <w:basedOn w:val="Normal"/>
    <w:next w:val="Normal"/>
    <w:link w:val="Ttulo3Car"/>
    <w:uiPriority w:val="9"/>
    <w:unhideWhenUsed/>
    <w:qFormat/>
    <w:rsid w:val="00E5572D"/>
    <w:pPr>
      <w:keepNext/>
      <w:spacing w:before="240" w:after="60"/>
      <w:outlineLvl w:val="2"/>
    </w:pPr>
    <w:rPr>
      <w:rFonts w:ascii="Calibri Light" w:hAnsi="Calibri Light"/>
      <w:b/>
      <w:bCs/>
      <w:sz w:val="26"/>
      <w:szCs w:val="26"/>
    </w:rPr>
  </w:style>
  <w:style w:type="paragraph" w:styleId="Ttulo4">
    <w:name w:val="heading 4"/>
    <w:basedOn w:val="Normal"/>
    <w:next w:val="Normal"/>
    <w:link w:val="Ttulo4Car"/>
    <w:uiPriority w:val="9"/>
    <w:unhideWhenUsed/>
    <w:qFormat/>
    <w:rsid w:val="00C57B88"/>
    <w:pPr>
      <w:keepNext/>
      <w:keepLines/>
      <w:numPr>
        <w:ilvl w:val="3"/>
        <w:numId w:val="2"/>
      </w:numPr>
      <w:outlineLvl w:val="3"/>
    </w:pPr>
    <w:rPr>
      <w:rFonts w:eastAsiaTheme="majorEastAsia" w:cstheme="majorBidi"/>
      <w:b/>
      <w:iCs/>
      <w:lang w:val="es-ES_tradnl"/>
    </w:rPr>
  </w:style>
  <w:style w:type="paragraph" w:styleId="Ttulo5">
    <w:name w:val="heading 5"/>
    <w:basedOn w:val="Normal"/>
    <w:next w:val="Normal"/>
    <w:link w:val="Ttulo5Car"/>
    <w:uiPriority w:val="9"/>
    <w:unhideWhenUsed/>
    <w:qFormat/>
    <w:rsid w:val="005624C3"/>
    <w:pPr>
      <w:keepNext/>
      <w:keepLines/>
      <w:spacing w:before="40"/>
      <w:outlineLvl w:val="4"/>
    </w:pPr>
    <w:rPr>
      <w:rFonts w:eastAsiaTheme="majorEastAsia" w:cstheme="majorBidi"/>
      <w:b/>
    </w:rPr>
  </w:style>
  <w:style w:type="paragraph" w:styleId="Ttulo6">
    <w:name w:val="heading 6"/>
    <w:basedOn w:val="Normal"/>
    <w:next w:val="Normal"/>
    <w:link w:val="Ttulo6Car"/>
    <w:uiPriority w:val="9"/>
    <w:unhideWhenUsed/>
    <w:qFormat/>
    <w:rsid w:val="005624C3"/>
    <w:pPr>
      <w:keepNext/>
      <w:keepLines/>
      <w:ind w:firstLine="567"/>
      <w:outlineLvl w:val="5"/>
    </w:pPr>
    <w:rPr>
      <w:rFonts w:eastAsiaTheme="majorEastAsia" w:cs="Arial"/>
      <w:b/>
    </w:rPr>
  </w:style>
  <w:style w:type="paragraph" w:styleId="Ttulo7">
    <w:name w:val="heading 7"/>
    <w:basedOn w:val="Normal"/>
    <w:next w:val="Normal"/>
    <w:link w:val="Ttulo7Car"/>
    <w:uiPriority w:val="9"/>
    <w:unhideWhenUsed/>
    <w:qFormat/>
    <w:rsid w:val="00D33ED4"/>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D33ED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D33ED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aliases w:val="Car, Car"/>
    <w:basedOn w:val="Normal"/>
    <w:link w:val="PuestoCar"/>
    <w:uiPriority w:val="10"/>
    <w:qFormat/>
    <w:rsid w:val="00235BD8"/>
    <w:pPr>
      <w:jc w:val="center"/>
    </w:pPr>
    <w:rPr>
      <w:rFonts w:cs="Arial"/>
      <w:sz w:val="3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1F7188"/>
    <w:rPr>
      <w:rFonts w:eastAsia="Calibri"/>
      <w:b/>
      <w:bCs/>
      <w:sz w:val="22"/>
      <w:szCs w:val="22"/>
    </w:rPr>
  </w:style>
  <w:style w:type="character" w:customStyle="1" w:styleId="Ttulo2Car">
    <w:name w:val="Título 2 Car"/>
    <w:basedOn w:val="Fuentedeprrafopredeter"/>
    <w:link w:val="Ttulo2"/>
    <w:uiPriority w:val="9"/>
    <w:rsid w:val="00E5572D"/>
    <w:rPr>
      <w:rFonts w:ascii="Times New Roman" w:eastAsia="Times New Roman" w:hAnsi="Times New Roman" w:cs="Times New Roman"/>
      <w:b/>
      <w:bCs/>
      <w:sz w:val="24"/>
      <w:szCs w:val="24"/>
      <w:lang w:eastAsia="es-ES"/>
    </w:rPr>
  </w:style>
  <w:style w:type="character" w:customStyle="1" w:styleId="Ttulo3Car">
    <w:name w:val="Título 3 Car"/>
    <w:basedOn w:val="Fuentedeprrafopredeter"/>
    <w:link w:val="Ttulo3"/>
    <w:uiPriority w:val="9"/>
    <w:rsid w:val="00E5572D"/>
    <w:rPr>
      <w:rFonts w:ascii="Calibri Light" w:eastAsia="Times New Roman" w:hAnsi="Calibri Light" w:cs="Times New Roman"/>
      <w:b/>
      <w:bCs/>
      <w:sz w:val="26"/>
      <w:szCs w:val="26"/>
      <w:lang w:eastAsia="es-ES"/>
    </w:rPr>
  </w:style>
  <w:style w:type="character" w:customStyle="1" w:styleId="Ttulo4Car">
    <w:name w:val="Título 4 Car"/>
    <w:basedOn w:val="Fuentedeprrafopredeter"/>
    <w:link w:val="Ttulo4"/>
    <w:uiPriority w:val="9"/>
    <w:rsid w:val="00C57B88"/>
    <w:rPr>
      <w:rFonts w:eastAsiaTheme="majorEastAsia" w:cstheme="majorBidi"/>
      <w:b/>
      <w:iCs/>
      <w:lang w:val="es-ES_tradnl" w:eastAsia="es-ES"/>
    </w:rPr>
  </w:style>
  <w:style w:type="character" w:customStyle="1" w:styleId="Ttulo5Car">
    <w:name w:val="Título 5 Car"/>
    <w:basedOn w:val="Fuentedeprrafopredeter"/>
    <w:link w:val="Ttulo5"/>
    <w:uiPriority w:val="9"/>
    <w:rsid w:val="005624C3"/>
    <w:rPr>
      <w:rFonts w:eastAsiaTheme="majorEastAsia" w:cstheme="majorBidi"/>
      <w:b/>
      <w:lang w:eastAsia="es-ES"/>
    </w:rPr>
  </w:style>
  <w:style w:type="character" w:customStyle="1" w:styleId="Ttulo6Car">
    <w:name w:val="Título 6 Car"/>
    <w:basedOn w:val="Fuentedeprrafopredeter"/>
    <w:link w:val="Ttulo6"/>
    <w:uiPriority w:val="9"/>
    <w:rsid w:val="005624C3"/>
    <w:rPr>
      <w:rFonts w:eastAsiaTheme="majorEastAsia"/>
      <w:b/>
      <w:lang w:eastAsia="es-ES"/>
    </w:rPr>
  </w:style>
  <w:style w:type="character" w:customStyle="1" w:styleId="Ttulo7Car">
    <w:name w:val="Título 7 Car"/>
    <w:basedOn w:val="Fuentedeprrafopredeter"/>
    <w:link w:val="Ttulo7"/>
    <w:uiPriority w:val="9"/>
    <w:rsid w:val="00D33ED4"/>
    <w:rPr>
      <w:rFonts w:asciiTheme="majorHAnsi" w:eastAsiaTheme="majorEastAsia" w:hAnsiTheme="majorHAnsi" w:cstheme="majorBidi"/>
      <w:i w:val="0"/>
      <w:iCs/>
      <w:color w:val="1F4D78" w:themeColor="accent1" w:themeShade="7F"/>
      <w:sz w:val="24"/>
      <w:szCs w:val="24"/>
      <w:lang w:eastAsia="es-ES"/>
    </w:rPr>
  </w:style>
  <w:style w:type="character" w:customStyle="1" w:styleId="Ttulo8Car">
    <w:name w:val="Título 8 Car"/>
    <w:basedOn w:val="Fuentedeprrafopredeter"/>
    <w:link w:val="Ttulo8"/>
    <w:uiPriority w:val="9"/>
    <w:rsid w:val="00D33ED4"/>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uiPriority w:val="9"/>
    <w:rsid w:val="00D33ED4"/>
    <w:rPr>
      <w:rFonts w:asciiTheme="majorHAnsi" w:eastAsiaTheme="majorEastAsia" w:hAnsiTheme="majorHAnsi" w:cstheme="majorBidi"/>
      <w:i w:val="0"/>
      <w:iCs/>
      <w:color w:val="272727" w:themeColor="text1" w:themeTint="D8"/>
      <w:sz w:val="21"/>
      <w:szCs w:val="21"/>
      <w:lang w:eastAsia="es-ES"/>
    </w:rPr>
  </w:style>
  <w:style w:type="paragraph" w:styleId="Piedepgina">
    <w:name w:val="footer"/>
    <w:basedOn w:val="Normal"/>
    <w:link w:val="PiedepginaCar"/>
    <w:uiPriority w:val="99"/>
    <w:rsid w:val="00E5572D"/>
    <w:pPr>
      <w:tabs>
        <w:tab w:val="center" w:pos="4252"/>
        <w:tab w:val="right" w:pos="8504"/>
      </w:tabs>
    </w:pPr>
  </w:style>
  <w:style w:type="character" w:customStyle="1" w:styleId="PiedepginaCar">
    <w:name w:val="Pie de página Car"/>
    <w:basedOn w:val="Fuentedeprrafopredeter"/>
    <w:link w:val="Piedepgina"/>
    <w:uiPriority w:val="99"/>
    <w:rsid w:val="00E5572D"/>
    <w:rPr>
      <w:rFonts w:ascii="Times New Roman" w:eastAsia="Times New Roman" w:hAnsi="Times New Roman" w:cs="Times New Roman"/>
      <w:sz w:val="24"/>
      <w:szCs w:val="24"/>
      <w:lang w:eastAsia="es-ES"/>
    </w:rPr>
  </w:style>
  <w:style w:type="character" w:styleId="Nmerodepgina">
    <w:name w:val="page number"/>
    <w:basedOn w:val="Fuentedeprrafopredeter"/>
    <w:uiPriority w:val="99"/>
    <w:rsid w:val="00E5572D"/>
  </w:style>
  <w:style w:type="paragraph" w:styleId="NormalWeb">
    <w:name w:val="Normal (Web)"/>
    <w:basedOn w:val="Normal"/>
    <w:link w:val="NormalWebCar"/>
    <w:uiPriority w:val="99"/>
    <w:rsid w:val="00E5572D"/>
    <w:pPr>
      <w:spacing w:before="100" w:beforeAutospacing="1" w:after="100" w:afterAutospacing="1"/>
    </w:pPr>
  </w:style>
  <w:style w:type="table" w:styleId="Tablaconcuadrcula5">
    <w:name w:val="Table Grid 5"/>
    <w:basedOn w:val="Tablanormal"/>
    <w:rsid w:val="00E5572D"/>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
    <w:name w:val="Table Grid"/>
    <w:basedOn w:val="Tablanormal"/>
    <w:uiPriority w:val="59"/>
    <w:qFormat/>
    <w:rsid w:val="00E5572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normal">
    <w:name w:val="tex_normal"/>
    <w:basedOn w:val="Normal"/>
    <w:rsid w:val="00E5572D"/>
    <w:pPr>
      <w:spacing w:before="100" w:beforeAutospacing="1" w:after="100" w:afterAutospacing="1"/>
    </w:pPr>
    <w:rPr>
      <w:rFonts w:cs="Arial"/>
      <w:color w:val="000000"/>
      <w:sz w:val="18"/>
      <w:szCs w:val="18"/>
    </w:rPr>
  </w:style>
  <w:style w:type="paragraph" w:styleId="Encabezado">
    <w:name w:val="header"/>
    <w:basedOn w:val="Normal"/>
    <w:link w:val="EncabezadoCar"/>
    <w:uiPriority w:val="99"/>
    <w:rsid w:val="00E5572D"/>
    <w:pPr>
      <w:tabs>
        <w:tab w:val="center" w:pos="4252"/>
        <w:tab w:val="right" w:pos="8504"/>
      </w:tabs>
    </w:pPr>
  </w:style>
  <w:style w:type="character" w:customStyle="1" w:styleId="EncabezadoCar">
    <w:name w:val="Encabezado Car"/>
    <w:basedOn w:val="Fuentedeprrafopredeter"/>
    <w:link w:val="Encabezado"/>
    <w:uiPriority w:val="99"/>
    <w:rsid w:val="00E5572D"/>
    <w:rPr>
      <w:rFonts w:ascii="Times New Roman" w:eastAsia="Times New Roman" w:hAnsi="Times New Roman" w:cs="Times New Roman"/>
      <w:sz w:val="24"/>
      <w:szCs w:val="24"/>
      <w:lang w:eastAsia="es-ES"/>
    </w:rPr>
  </w:style>
  <w:style w:type="paragraph" w:styleId="Textonotapie">
    <w:name w:val="footnote text"/>
    <w:basedOn w:val="Normal"/>
    <w:link w:val="TextonotapieCar"/>
    <w:rsid w:val="00E5572D"/>
    <w:rPr>
      <w:szCs w:val="20"/>
    </w:rPr>
  </w:style>
  <w:style w:type="character" w:customStyle="1" w:styleId="TextonotapieCar">
    <w:name w:val="Texto nota pie Car"/>
    <w:basedOn w:val="Fuentedeprrafopredeter"/>
    <w:link w:val="Textonotapie"/>
    <w:rsid w:val="00E5572D"/>
    <w:rPr>
      <w:rFonts w:ascii="Times New Roman" w:eastAsia="Times New Roman" w:hAnsi="Times New Roman" w:cs="Times New Roman"/>
      <w:sz w:val="20"/>
      <w:szCs w:val="20"/>
      <w:lang w:eastAsia="es-ES"/>
    </w:rPr>
  </w:style>
  <w:style w:type="character" w:styleId="Refdenotaalpie">
    <w:name w:val="footnote reference"/>
    <w:uiPriority w:val="99"/>
    <w:qFormat/>
    <w:rsid w:val="00E5572D"/>
    <w:rPr>
      <w:vertAlign w:val="superscript"/>
    </w:rPr>
  </w:style>
  <w:style w:type="character" w:styleId="Textoennegrita">
    <w:name w:val="Strong"/>
    <w:uiPriority w:val="22"/>
    <w:qFormat/>
    <w:rsid w:val="00E5572D"/>
    <w:rPr>
      <w:b/>
      <w:bCs/>
    </w:rPr>
  </w:style>
  <w:style w:type="table" w:styleId="Tablaconlista5">
    <w:name w:val="Table List 5"/>
    <w:basedOn w:val="Tablanormal"/>
    <w:rsid w:val="00E5572D"/>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elegante">
    <w:name w:val="Table Elegant"/>
    <w:basedOn w:val="Tablanormal"/>
    <w:rsid w:val="00E5572D"/>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DC1">
    <w:name w:val="toc 1"/>
    <w:basedOn w:val="Normal"/>
    <w:next w:val="Normal"/>
    <w:autoRedefine/>
    <w:uiPriority w:val="39"/>
    <w:qFormat/>
    <w:rsid w:val="00E5572D"/>
    <w:pPr>
      <w:spacing w:before="120" w:after="120"/>
    </w:pPr>
    <w:rPr>
      <w:rFonts w:ascii="Calibri" w:hAnsi="Calibri"/>
      <w:b/>
      <w:bCs/>
      <w:caps/>
      <w:szCs w:val="20"/>
    </w:rPr>
  </w:style>
  <w:style w:type="paragraph" w:styleId="TDC2">
    <w:name w:val="toc 2"/>
    <w:basedOn w:val="Normal"/>
    <w:next w:val="Normal"/>
    <w:autoRedefine/>
    <w:uiPriority w:val="39"/>
    <w:qFormat/>
    <w:rsid w:val="0007385D"/>
    <w:pPr>
      <w:widowControl w:val="0"/>
      <w:numPr>
        <w:ilvl w:val="1"/>
      </w:numPr>
      <w:tabs>
        <w:tab w:val="left" w:pos="1489"/>
      </w:tabs>
      <w:autoSpaceDE w:val="0"/>
      <w:autoSpaceDN w:val="0"/>
      <w:ind w:left="720" w:firstLine="567"/>
    </w:pPr>
    <w:rPr>
      <w:rFonts w:ascii="Calibri" w:hAnsi="Calibri"/>
      <w:smallCaps/>
      <w:szCs w:val="20"/>
    </w:rPr>
  </w:style>
  <w:style w:type="paragraph" w:styleId="TDC3">
    <w:name w:val="toc 3"/>
    <w:basedOn w:val="Normal"/>
    <w:next w:val="Normal"/>
    <w:autoRedefine/>
    <w:uiPriority w:val="39"/>
    <w:qFormat/>
    <w:rsid w:val="00E5572D"/>
    <w:pPr>
      <w:ind w:left="480"/>
    </w:pPr>
    <w:rPr>
      <w:rFonts w:ascii="Calibri" w:hAnsi="Calibri"/>
      <w:i/>
      <w:iCs/>
      <w:szCs w:val="20"/>
    </w:rPr>
  </w:style>
  <w:style w:type="paragraph" w:styleId="TDC4">
    <w:name w:val="toc 4"/>
    <w:basedOn w:val="Normal"/>
    <w:next w:val="Normal"/>
    <w:autoRedefine/>
    <w:uiPriority w:val="39"/>
    <w:qFormat/>
    <w:rsid w:val="00E5572D"/>
    <w:pPr>
      <w:ind w:left="720"/>
    </w:pPr>
    <w:rPr>
      <w:rFonts w:ascii="Calibri" w:hAnsi="Calibri"/>
      <w:sz w:val="18"/>
      <w:szCs w:val="18"/>
    </w:rPr>
  </w:style>
  <w:style w:type="paragraph" w:styleId="TDC5">
    <w:name w:val="toc 5"/>
    <w:basedOn w:val="Normal"/>
    <w:next w:val="Normal"/>
    <w:autoRedefine/>
    <w:uiPriority w:val="99"/>
    <w:qFormat/>
    <w:rsid w:val="00E5572D"/>
    <w:pPr>
      <w:ind w:left="960"/>
    </w:pPr>
    <w:rPr>
      <w:rFonts w:ascii="Calibri" w:hAnsi="Calibri"/>
      <w:sz w:val="18"/>
      <w:szCs w:val="18"/>
    </w:rPr>
  </w:style>
  <w:style w:type="paragraph" w:styleId="TDC6">
    <w:name w:val="toc 6"/>
    <w:basedOn w:val="Normal"/>
    <w:next w:val="Normal"/>
    <w:autoRedefine/>
    <w:uiPriority w:val="99"/>
    <w:qFormat/>
    <w:rsid w:val="00E5572D"/>
    <w:pPr>
      <w:ind w:left="1200"/>
    </w:pPr>
    <w:rPr>
      <w:rFonts w:ascii="Calibri" w:hAnsi="Calibri"/>
      <w:sz w:val="18"/>
      <w:szCs w:val="18"/>
    </w:rPr>
  </w:style>
  <w:style w:type="paragraph" w:styleId="TDC7">
    <w:name w:val="toc 7"/>
    <w:basedOn w:val="Normal"/>
    <w:next w:val="Normal"/>
    <w:autoRedefine/>
    <w:uiPriority w:val="99"/>
    <w:qFormat/>
    <w:rsid w:val="00E5572D"/>
    <w:pPr>
      <w:ind w:left="1440"/>
    </w:pPr>
    <w:rPr>
      <w:rFonts w:ascii="Calibri" w:hAnsi="Calibri"/>
      <w:sz w:val="18"/>
      <w:szCs w:val="18"/>
    </w:rPr>
  </w:style>
  <w:style w:type="paragraph" w:styleId="TDC8">
    <w:name w:val="toc 8"/>
    <w:basedOn w:val="Normal"/>
    <w:next w:val="Normal"/>
    <w:autoRedefine/>
    <w:uiPriority w:val="99"/>
    <w:rsid w:val="00E5572D"/>
    <w:pPr>
      <w:ind w:left="1680"/>
    </w:pPr>
    <w:rPr>
      <w:rFonts w:ascii="Calibri" w:hAnsi="Calibri"/>
      <w:sz w:val="18"/>
      <w:szCs w:val="18"/>
    </w:rPr>
  </w:style>
  <w:style w:type="paragraph" w:styleId="TDC9">
    <w:name w:val="toc 9"/>
    <w:basedOn w:val="Normal"/>
    <w:next w:val="Normal"/>
    <w:autoRedefine/>
    <w:uiPriority w:val="99"/>
    <w:rsid w:val="00E5572D"/>
    <w:pPr>
      <w:ind w:left="1920"/>
    </w:pPr>
    <w:rPr>
      <w:rFonts w:ascii="Calibri" w:hAnsi="Calibri"/>
      <w:sz w:val="18"/>
      <w:szCs w:val="18"/>
    </w:rPr>
  </w:style>
  <w:style w:type="character" w:styleId="Hipervnculo">
    <w:name w:val="Hyperlink"/>
    <w:uiPriority w:val="99"/>
    <w:unhideWhenUsed/>
    <w:qFormat/>
    <w:rsid w:val="00E5572D"/>
    <w:rPr>
      <w:color w:val="0563C1"/>
      <w:u w:val="single"/>
    </w:rPr>
  </w:style>
  <w:style w:type="paragraph" w:styleId="Textodeglobo">
    <w:name w:val="Balloon Text"/>
    <w:basedOn w:val="Normal"/>
    <w:link w:val="TextodegloboCar"/>
    <w:uiPriority w:val="99"/>
    <w:rsid w:val="00E5572D"/>
    <w:rPr>
      <w:rFonts w:ascii="Segoe UI" w:hAnsi="Segoe UI" w:cs="Segoe UI"/>
      <w:sz w:val="18"/>
      <w:szCs w:val="18"/>
    </w:rPr>
  </w:style>
  <w:style w:type="character" w:customStyle="1" w:styleId="TextodegloboCar">
    <w:name w:val="Texto de globo Car"/>
    <w:basedOn w:val="Fuentedeprrafopredeter"/>
    <w:link w:val="Textodeglobo"/>
    <w:uiPriority w:val="99"/>
    <w:rsid w:val="00E5572D"/>
    <w:rPr>
      <w:rFonts w:ascii="Segoe UI" w:eastAsia="Times New Roman" w:hAnsi="Segoe UI" w:cs="Segoe UI"/>
      <w:sz w:val="18"/>
      <w:szCs w:val="18"/>
      <w:lang w:eastAsia="es-ES"/>
    </w:rPr>
  </w:style>
  <w:style w:type="paragraph" w:styleId="Prrafodelista">
    <w:name w:val="List Paragraph"/>
    <w:aliases w:val="Viñetas,Fundamentacion,Lista vistosa - Énfasis 11,Cuadro 2-1,Párrafo de lista2,List Paragraph,Dot pt,No Spacing1,List Paragraph Char Char Char,Indicator Text,List Paragraph1,Numbered Para 1,Colorful List - Accent 11,Footnote,Bullet 1"/>
    <w:basedOn w:val="Normal"/>
    <w:link w:val="PrrafodelistaCar"/>
    <w:uiPriority w:val="34"/>
    <w:qFormat/>
    <w:rsid w:val="00E5572D"/>
    <w:pPr>
      <w:ind w:left="708"/>
    </w:pPr>
  </w:style>
  <w:style w:type="character" w:customStyle="1" w:styleId="PrrafodelistaCar">
    <w:name w:val="Párrafo de lista Car"/>
    <w:aliases w:val="Viñetas Car,Fundamentacion Car,Lista vistosa - Énfasis 11 Car,Cuadro 2-1 Car,Párrafo de lista2 Car,List Paragraph Car,Dot pt Car,No Spacing1 Car,List Paragraph Char Char Char Car,Indicator Text Car,List Paragraph1 Car,Footnote Car"/>
    <w:link w:val="Prrafodelista"/>
    <w:uiPriority w:val="34"/>
    <w:qFormat/>
    <w:rsid w:val="00441325"/>
    <w:rPr>
      <w:rFonts w:ascii="Times New Roman" w:eastAsia="Times New Roman" w:hAnsi="Times New Roman" w:cs="Times New Roman"/>
      <w:sz w:val="24"/>
      <w:szCs w:val="24"/>
      <w:lang w:eastAsia="es-ES"/>
    </w:rPr>
  </w:style>
  <w:style w:type="character" w:styleId="Refdecomentario">
    <w:name w:val="annotation reference"/>
    <w:basedOn w:val="Fuentedeprrafopredeter"/>
    <w:rsid w:val="00E5572D"/>
    <w:rPr>
      <w:sz w:val="18"/>
      <w:szCs w:val="18"/>
    </w:rPr>
  </w:style>
  <w:style w:type="paragraph" w:styleId="Textocomentario">
    <w:name w:val="annotation text"/>
    <w:basedOn w:val="Normal"/>
    <w:link w:val="TextocomentarioCar"/>
    <w:uiPriority w:val="99"/>
    <w:rsid w:val="00E5572D"/>
  </w:style>
  <w:style w:type="character" w:customStyle="1" w:styleId="TextocomentarioCar">
    <w:name w:val="Texto comentario Car"/>
    <w:basedOn w:val="Fuentedeprrafopredeter"/>
    <w:link w:val="Textocomentario"/>
    <w:uiPriority w:val="99"/>
    <w:rsid w:val="00E5572D"/>
    <w:rPr>
      <w:rFonts w:ascii="Times New Roman" w:eastAsia="Times New Roman"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rsid w:val="00E5572D"/>
    <w:rPr>
      <w:b/>
      <w:bCs/>
      <w:szCs w:val="20"/>
    </w:rPr>
  </w:style>
  <w:style w:type="character" w:customStyle="1" w:styleId="AsuntodelcomentarioCar">
    <w:name w:val="Asunto del comentario Car"/>
    <w:basedOn w:val="TextocomentarioCar"/>
    <w:link w:val="Asuntodelcomentario"/>
    <w:uiPriority w:val="99"/>
    <w:rsid w:val="00E5572D"/>
    <w:rPr>
      <w:rFonts w:ascii="Times New Roman" w:eastAsia="Times New Roman" w:hAnsi="Times New Roman" w:cs="Times New Roman"/>
      <w:b/>
      <w:bCs/>
      <w:sz w:val="20"/>
      <w:szCs w:val="20"/>
      <w:lang w:eastAsia="es-ES"/>
    </w:rPr>
  </w:style>
  <w:style w:type="paragraph" w:styleId="Textonotaalfinal">
    <w:name w:val="endnote text"/>
    <w:basedOn w:val="Normal"/>
    <w:link w:val="TextonotaalfinalCar"/>
    <w:uiPriority w:val="99"/>
    <w:rsid w:val="00E5572D"/>
    <w:rPr>
      <w:szCs w:val="20"/>
    </w:rPr>
  </w:style>
  <w:style w:type="character" w:customStyle="1" w:styleId="TextonotaalfinalCar">
    <w:name w:val="Texto nota al final Car"/>
    <w:basedOn w:val="Fuentedeprrafopredeter"/>
    <w:link w:val="Textonotaalfinal"/>
    <w:uiPriority w:val="99"/>
    <w:rsid w:val="00E5572D"/>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rsid w:val="00E5572D"/>
    <w:rPr>
      <w:vertAlign w:val="superscript"/>
    </w:rPr>
  </w:style>
  <w:style w:type="paragraph" w:styleId="Descripcin">
    <w:name w:val="caption"/>
    <w:basedOn w:val="Normal"/>
    <w:next w:val="Normal"/>
    <w:uiPriority w:val="35"/>
    <w:unhideWhenUsed/>
    <w:qFormat/>
    <w:rsid w:val="00E5572D"/>
    <w:pPr>
      <w:spacing w:after="200"/>
    </w:pPr>
    <w:rPr>
      <w:i/>
      <w:iCs/>
      <w:color w:val="44546A" w:themeColor="text2"/>
      <w:sz w:val="18"/>
      <w:szCs w:val="18"/>
    </w:rPr>
  </w:style>
  <w:style w:type="paragraph" w:styleId="Bibliografa">
    <w:name w:val="Bibliography"/>
    <w:basedOn w:val="Normal"/>
    <w:next w:val="Normal"/>
    <w:uiPriority w:val="37"/>
    <w:unhideWhenUsed/>
    <w:rsid w:val="00E5572D"/>
  </w:style>
  <w:style w:type="paragraph" w:customStyle="1" w:styleId="Estilo1">
    <w:name w:val="Estilo 1"/>
    <w:basedOn w:val="Ttulo1"/>
    <w:next w:val="NormalAntony"/>
    <w:qFormat/>
    <w:rsid w:val="00A13160"/>
    <w:pPr>
      <w:jc w:val="center"/>
    </w:pPr>
    <w:rPr>
      <w:b w:val="0"/>
      <w:bCs w:val="0"/>
      <w:sz w:val="32"/>
      <w:szCs w:val="28"/>
      <w:lang w:val="es-ES_tradnl"/>
    </w:rPr>
  </w:style>
  <w:style w:type="paragraph" w:customStyle="1" w:styleId="NormalAntony">
    <w:name w:val="NormalAntony"/>
    <w:basedOn w:val="Normal"/>
    <w:link w:val="NormalAntonyCar"/>
    <w:qFormat/>
    <w:rsid w:val="005427CF"/>
    <w:pPr>
      <w:autoSpaceDE w:val="0"/>
      <w:autoSpaceDN w:val="0"/>
      <w:adjustRightInd w:val="0"/>
      <w:ind w:firstLine="709"/>
    </w:pPr>
    <w:rPr>
      <w:rFonts w:cs="Arial"/>
      <w:bCs/>
      <w:lang w:val="es-ES_tradnl"/>
    </w:rPr>
  </w:style>
  <w:style w:type="paragraph" w:customStyle="1" w:styleId="Estilo2">
    <w:name w:val="Estilo 2"/>
    <w:basedOn w:val="Ttulo2"/>
    <w:next w:val="Piedepgina"/>
    <w:uiPriority w:val="99"/>
    <w:qFormat/>
    <w:rsid w:val="0042620C"/>
    <w:pPr>
      <w:ind w:left="1077" w:hanging="720"/>
    </w:pPr>
    <w:rPr>
      <w:rFonts w:cs="Arial"/>
      <w:bCs w:val="0"/>
      <w:sz w:val="28"/>
      <w:szCs w:val="28"/>
      <w:lang w:val="es-ES_tradnl"/>
    </w:rPr>
  </w:style>
  <w:style w:type="paragraph" w:customStyle="1" w:styleId="Estilo3">
    <w:name w:val="Estilo 3"/>
    <w:basedOn w:val="Ttulo3"/>
    <w:next w:val="NormalAntony"/>
    <w:uiPriority w:val="99"/>
    <w:qFormat/>
    <w:rsid w:val="0042620C"/>
    <w:pPr>
      <w:numPr>
        <w:ilvl w:val="2"/>
        <w:numId w:val="1"/>
      </w:numPr>
      <w:spacing w:before="0"/>
    </w:pPr>
    <w:rPr>
      <w:rFonts w:ascii="Arial" w:hAnsi="Arial" w:cs="Arial"/>
      <w:bCs w:val="0"/>
      <w:szCs w:val="28"/>
      <w:lang w:val="es-ES_tradnl"/>
    </w:rPr>
  </w:style>
  <w:style w:type="paragraph" w:styleId="Tabladeilustraciones">
    <w:name w:val="table of figures"/>
    <w:basedOn w:val="Normal"/>
    <w:next w:val="Normal"/>
    <w:uiPriority w:val="99"/>
    <w:unhideWhenUsed/>
    <w:rsid w:val="00001F1A"/>
    <w:pPr>
      <w:ind w:left="480" w:hanging="480"/>
    </w:pPr>
    <w:rPr>
      <w:rFonts w:asciiTheme="minorHAnsi" w:hAnsiTheme="minorHAnsi"/>
      <w:caps/>
      <w:szCs w:val="20"/>
    </w:rPr>
  </w:style>
  <w:style w:type="paragraph" w:customStyle="1" w:styleId="Estilo4">
    <w:name w:val="Estilo 4"/>
    <w:basedOn w:val="Ttulo4"/>
    <w:next w:val="NormalAntony"/>
    <w:uiPriority w:val="99"/>
    <w:qFormat/>
    <w:rsid w:val="004A3148"/>
    <w:rPr>
      <w:rFonts w:cs="Arial"/>
      <w:b w:val="0"/>
      <w:bCs/>
      <w:i/>
      <w:szCs w:val="28"/>
    </w:rPr>
  </w:style>
  <w:style w:type="paragraph" w:customStyle="1" w:styleId="Estilo5">
    <w:name w:val="Estilo 5"/>
    <w:basedOn w:val="Estilo4"/>
    <w:next w:val="NormalAntony"/>
    <w:uiPriority w:val="99"/>
    <w:qFormat/>
    <w:rsid w:val="00BD46A9"/>
    <w:pPr>
      <w:outlineLvl w:val="4"/>
    </w:pPr>
  </w:style>
  <w:style w:type="character" w:customStyle="1" w:styleId="hps">
    <w:name w:val="hps"/>
    <w:basedOn w:val="Fuentedeprrafopredeter"/>
    <w:rsid w:val="00AF339F"/>
  </w:style>
  <w:style w:type="character" w:customStyle="1" w:styleId="apple-converted-space">
    <w:name w:val="apple-converted-space"/>
    <w:basedOn w:val="Fuentedeprrafopredeter"/>
    <w:rsid w:val="00AC7A84"/>
  </w:style>
  <w:style w:type="paragraph" w:styleId="Textosinformato">
    <w:name w:val="Plain Text"/>
    <w:basedOn w:val="Normal"/>
    <w:link w:val="TextosinformatoCar"/>
    <w:rsid w:val="002E0B4F"/>
    <w:rPr>
      <w:rFonts w:ascii="Courier New" w:hAnsi="Courier New"/>
      <w:szCs w:val="20"/>
    </w:rPr>
  </w:style>
  <w:style w:type="character" w:customStyle="1" w:styleId="TextosinformatoCar">
    <w:name w:val="Texto sin formato Car"/>
    <w:basedOn w:val="Fuentedeprrafopredeter"/>
    <w:link w:val="Textosinformato"/>
    <w:rsid w:val="002E0B4F"/>
    <w:rPr>
      <w:rFonts w:ascii="Courier New" w:eastAsia="Times New Roman" w:hAnsi="Courier New" w:cs="Times New Roman"/>
      <w:sz w:val="20"/>
      <w:szCs w:val="20"/>
      <w:lang w:eastAsia="es-ES"/>
    </w:rPr>
  </w:style>
  <w:style w:type="paragraph" w:styleId="Sinespaciado">
    <w:name w:val="No Spacing"/>
    <w:link w:val="SinespaciadoCar"/>
    <w:uiPriority w:val="1"/>
    <w:qFormat/>
    <w:rsid w:val="002E0B4F"/>
    <w:rPr>
      <w:rFonts w:ascii="Calibri" w:eastAsia="Calibri" w:hAnsi="Calibri" w:cs="Times New Roman"/>
    </w:rPr>
  </w:style>
  <w:style w:type="character" w:customStyle="1" w:styleId="SinespaciadoCar">
    <w:name w:val="Sin espaciado Car"/>
    <w:link w:val="Sinespaciado"/>
    <w:uiPriority w:val="1"/>
    <w:locked/>
    <w:rsid w:val="002E0B4F"/>
    <w:rPr>
      <w:rFonts w:ascii="Calibri" w:eastAsia="Calibri" w:hAnsi="Calibri" w:cs="Times New Roman"/>
    </w:rPr>
  </w:style>
  <w:style w:type="character" w:customStyle="1" w:styleId="shorttext">
    <w:name w:val="short_text"/>
    <w:basedOn w:val="Fuentedeprrafopredeter"/>
    <w:rsid w:val="00D12226"/>
  </w:style>
  <w:style w:type="paragraph" w:styleId="HTMLconformatoprevio">
    <w:name w:val="HTML Preformatted"/>
    <w:basedOn w:val="Normal"/>
    <w:link w:val="HTMLconformatoprevioCar"/>
    <w:uiPriority w:val="99"/>
    <w:unhideWhenUsed/>
    <w:rsid w:val="00075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conformatoprevioCar">
    <w:name w:val="HTML con formato previo Car"/>
    <w:basedOn w:val="Fuentedeprrafopredeter"/>
    <w:link w:val="HTMLconformatoprevio"/>
    <w:uiPriority w:val="99"/>
    <w:rsid w:val="00075D71"/>
    <w:rPr>
      <w:rFonts w:ascii="Courier New" w:eastAsia="Times New Roman" w:hAnsi="Courier New" w:cs="Courier New"/>
      <w:sz w:val="20"/>
      <w:szCs w:val="20"/>
      <w:lang w:eastAsia="es-ES"/>
    </w:rPr>
  </w:style>
  <w:style w:type="paragraph" w:styleId="Sangradetextonormal">
    <w:name w:val="Body Text Indent"/>
    <w:basedOn w:val="Normal"/>
    <w:link w:val="SangradetextonormalCar"/>
    <w:rsid w:val="007D7934"/>
    <w:pPr>
      <w:spacing w:after="120"/>
      <w:ind w:left="283"/>
    </w:pPr>
    <w:rPr>
      <w:szCs w:val="20"/>
    </w:rPr>
  </w:style>
  <w:style w:type="character" w:customStyle="1" w:styleId="SangradetextonormalCar">
    <w:name w:val="Sangría de texto normal Car"/>
    <w:basedOn w:val="Fuentedeprrafopredeter"/>
    <w:link w:val="Sangradetextonormal"/>
    <w:rsid w:val="007D7934"/>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unhideWhenUsed/>
    <w:qFormat/>
    <w:rsid w:val="00053A8B"/>
    <w:pPr>
      <w:spacing w:after="120"/>
    </w:pPr>
  </w:style>
  <w:style w:type="character" w:customStyle="1" w:styleId="TextoindependienteCar">
    <w:name w:val="Texto independiente Car"/>
    <w:basedOn w:val="Fuentedeprrafopredeter"/>
    <w:link w:val="Textoindependiente"/>
    <w:rsid w:val="00053A8B"/>
    <w:rPr>
      <w:rFonts w:ascii="Times New Roman" w:eastAsia="Times New Roman" w:hAnsi="Times New Roman" w:cs="Times New Roman"/>
      <w:sz w:val="24"/>
      <w:szCs w:val="24"/>
      <w:lang w:eastAsia="es-ES"/>
    </w:rPr>
  </w:style>
  <w:style w:type="character" w:customStyle="1" w:styleId="PuestoCar">
    <w:name w:val="Puesto Car"/>
    <w:aliases w:val="Car Car, Car Car"/>
    <w:link w:val="Puesto"/>
    <w:uiPriority w:val="10"/>
    <w:locked/>
    <w:rsid w:val="00A14A28"/>
    <w:rPr>
      <w:rFonts w:ascii="Arial" w:eastAsia="Times New Roman" w:hAnsi="Arial" w:cs="Arial"/>
      <w:sz w:val="32"/>
      <w:szCs w:val="24"/>
      <w:lang w:val="es-ES" w:eastAsia="es-ES"/>
    </w:rPr>
  </w:style>
  <w:style w:type="table" w:customStyle="1" w:styleId="TablasAntony">
    <w:name w:val="TablasAntony"/>
    <w:basedOn w:val="Tablanormal"/>
    <w:uiPriority w:val="99"/>
    <w:rsid w:val="00EB3F35"/>
    <w:rPr>
      <w:sz w:val="16"/>
    </w:rPr>
    <w:tblPr>
      <w:jc w:val="center"/>
      <w:tblBorders>
        <w:top w:val="double" w:sz="4" w:space="0" w:color="auto"/>
        <w:bottom w:val="double" w:sz="4" w:space="0" w:color="auto"/>
      </w:tblBorders>
    </w:tblPr>
    <w:trPr>
      <w:jc w:val="center"/>
    </w:trPr>
    <w:tcPr>
      <w:shd w:val="clear" w:color="auto" w:fill="FFFFFF" w:themeFill="background1"/>
      <w:vAlign w:val="center"/>
    </w:tcPr>
  </w:style>
  <w:style w:type="paragraph" w:customStyle="1" w:styleId="NormaAntonyGT">
    <w:name w:val="NormaAntonyGT"/>
    <w:basedOn w:val="NormalAntony"/>
    <w:link w:val="NormaAntonyGTCar"/>
    <w:qFormat/>
    <w:rsid w:val="003F273D"/>
    <w:pPr>
      <w:jc w:val="center"/>
    </w:pPr>
  </w:style>
  <w:style w:type="table" w:customStyle="1" w:styleId="Tabladelista7concolores-nfasis61">
    <w:name w:val="Tabla de lista 7 con colores - Énfasis 61"/>
    <w:basedOn w:val="Tablanormal"/>
    <w:uiPriority w:val="52"/>
    <w:rsid w:val="003F273D"/>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cuadrcula3-nfasis31">
    <w:name w:val="Tabla de cuadrícula 3 - Énfasis 31"/>
    <w:basedOn w:val="Tablanormal"/>
    <w:uiPriority w:val="48"/>
    <w:rsid w:val="00D33ED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customStyle="1" w:styleId="apple-tab-span">
    <w:name w:val="apple-tab-span"/>
    <w:basedOn w:val="Fuentedeprrafopredeter"/>
    <w:rsid w:val="00D33ED4"/>
  </w:style>
  <w:style w:type="character" w:styleId="nfasis">
    <w:name w:val="Emphasis"/>
    <w:basedOn w:val="Fuentedeprrafopredeter"/>
    <w:uiPriority w:val="20"/>
    <w:qFormat/>
    <w:rsid w:val="00D33ED4"/>
    <w:rPr>
      <w:rFonts w:cs="Times New Roman"/>
      <w:i w:val="0"/>
      <w:iCs/>
    </w:rPr>
  </w:style>
  <w:style w:type="character" w:customStyle="1" w:styleId="caps">
    <w:name w:val="caps"/>
    <w:basedOn w:val="Fuentedeprrafopredeter"/>
    <w:rsid w:val="00D33ED4"/>
  </w:style>
  <w:style w:type="character" w:customStyle="1" w:styleId="st">
    <w:name w:val="st"/>
    <w:basedOn w:val="Fuentedeprrafopredeter"/>
    <w:rsid w:val="00D33ED4"/>
  </w:style>
  <w:style w:type="paragraph" w:customStyle="1" w:styleId="Default">
    <w:name w:val="Default"/>
    <w:rsid w:val="00D33ED4"/>
    <w:pPr>
      <w:autoSpaceDE w:val="0"/>
      <w:autoSpaceDN w:val="0"/>
      <w:adjustRightInd w:val="0"/>
    </w:pPr>
    <w:rPr>
      <w:rFonts w:ascii="Times New Roman" w:hAnsi="Times New Roman" w:cs="Times New Roman"/>
      <w:color w:val="000000"/>
    </w:rPr>
  </w:style>
  <w:style w:type="paragraph" w:customStyle="1" w:styleId="NoramalTablaAntony">
    <w:name w:val="NoramalTablaAntony"/>
    <w:basedOn w:val="NormaAntonyGT"/>
    <w:rsid w:val="00D33ED4"/>
    <w:pPr>
      <w:ind w:left="60" w:right="60"/>
      <w:jc w:val="left"/>
    </w:pPr>
    <w:rPr>
      <w:rFonts w:eastAsiaTheme="minorHAnsi"/>
      <w:bCs w:val="0"/>
      <w:lang w:val="es-PE" w:eastAsia="en-US"/>
    </w:rPr>
  </w:style>
  <w:style w:type="paragraph" w:customStyle="1" w:styleId="ptext">
    <w:name w:val="p_text"/>
    <w:basedOn w:val="Normal"/>
    <w:rsid w:val="00D33ED4"/>
    <w:pPr>
      <w:spacing w:before="100" w:beforeAutospacing="1" w:after="100" w:afterAutospacing="1"/>
    </w:pPr>
  </w:style>
  <w:style w:type="paragraph" w:customStyle="1" w:styleId="Prrafodelista1">
    <w:name w:val="Párrafo de lista1"/>
    <w:basedOn w:val="Normal"/>
    <w:uiPriority w:val="34"/>
    <w:qFormat/>
    <w:rsid w:val="00D33ED4"/>
    <w:pPr>
      <w:ind w:left="720"/>
    </w:pPr>
  </w:style>
  <w:style w:type="character" w:customStyle="1" w:styleId="toptitle">
    <w:name w:val="top_title"/>
    <w:basedOn w:val="Fuentedeprrafopredeter"/>
    <w:rsid w:val="00D33ED4"/>
  </w:style>
  <w:style w:type="table" w:styleId="Sombreadomedio2-nfasis5">
    <w:name w:val="Medium Shading 2 Accent 5"/>
    <w:basedOn w:val="Tablanormal"/>
    <w:uiPriority w:val="64"/>
    <w:rsid w:val="00956B5C"/>
    <w:rPr>
      <w:rFonts w:eastAsiaTheme="minorEastAsia"/>
      <w:lang w:eastAsia="es-E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user">
    <w:name w:val="user"/>
    <w:basedOn w:val="Normal"/>
    <w:uiPriority w:val="99"/>
    <w:rsid w:val="004B4165"/>
    <w:pPr>
      <w:spacing w:before="100" w:beforeAutospacing="1" w:after="100" w:afterAutospacing="1"/>
    </w:pPr>
    <w:rPr>
      <w:lang w:eastAsia="es-PE"/>
    </w:rPr>
  </w:style>
  <w:style w:type="character" w:styleId="Hipervnculovisitado">
    <w:name w:val="FollowedHyperlink"/>
    <w:uiPriority w:val="99"/>
    <w:semiHidden/>
    <w:unhideWhenUsed/>
    <w:rsid w:val="00235BD8"/>
    <w:rPr>
      <w:color w:val="800080"/>
      <w:u w:val="single"/>
    </w:rPr>
  </w:style>
  <w:style w:type="paragraph" w:styleId="DireccinHTML">
    <w:name w:val="HTML Address"/>
    <w:basedOn w:val="Normal"/>
    <w:link w:val="DireccinHTMLCar"/>
    <w:uiPriority w:val="99"/>
    <w:semiHidden/>
    <w:unhideWhenUsed/>
    <w:rsid w:val="00235BD8"/>
    <w:rPr>
      <w:i/>
      <w:iCs/>
      <w:lang w:eastAsia="es-PE"/>
    </w:rPr>
  </w:style>
  <w:style w:type="character" w:customStyle="1" w:styleId="DireccinHTMLCar">
    <w:name w:val="Dirección HTML Car"/>
    <w:basedOn w:val="Fuentedeprrafopredeter"/>
    <w:link w:val="DireccinHTML"/>
    <w:uiPriority w:val="99"/>
    <w:semiHidden/>
    <w:rsid w:val="00235BD8"/>
    <w:rPr>
      <w:rFonts w:ascii="Times New Roman" w:eastAsia="Times New Roman" w:hAnsi="Times New Roman" w:cs="Times New Roman"/>
      <w:i w:val="0"/>
      <w:iCs/>
      <w:sz w:val="24"/>
      <w:szCs w:val="24"/>
      <w:lang w:val="es-PE" w:eastAsia="es-PE"/>
    </w:rPr>
  </w:style>
  <w:style w:type="paragraph" w:styleId="Lista3">
    <w:name w:val="List 3"/>
    <w:basedOn w:val="Normal"/>
    <w:uiPriority w:val="99"/>
    <w:unhideWhenUsed/>
    <w:rsid w:val="00235BD8"/>
    <w:pPr>
      <w:ind w:left="849" w:hanging="283"/>
    </w:pPr>
  </w:style>
  <w:style w:type="character" w:customStyle="1" w:styleId="TtuloCar1">
    <w:name w:val="Título Car1"/>
    <w:aliases w:val="Car Car1"/>
    <w:basedOn w:val="Fuentedeprrafopredeter"/>
    <w:uiPriority w:val="10"/>
    <w:rsid w:val="00235BD8"/>
    <w:rPr>
      <w:rFonts w:asciiTheme="majorHAnsi" w:eastAsiaTheme="majorEastAsia" w:hAnsiTheme="majorHAnsi" w:cstheme="majorBidi"/>
      <w:color w:val="323E4F" w:themeColor="text2" w:themeShade="BF"/>
      <w:spacing w:val="5"/>
      <w:kern w:val="28"/>
      <w:sz w:val="52"/>
      <w:szCs w:val="52"/>
      <w:lang w:eastAsia="es-ES"/>
    </w:rPr>
  </w:style>
  <w:style w:type="paragraph" w:styleId="Textoindependiente2">
    <w:name w:val="Body Text 2"/>
    <w:basedOn w:val="Normal"/>
    <w:link w:val="Textoindependiente2Car"/>
    <w:uiPriority w:val="99"/>
    <w:semiHidden/>
    <w:unhideWhenUsed/>
    <w:rsid w:val="00235BD8"/>
    <w:pPr>
      <w:spacing w:after="120" w:line="480" w:lineRule="auto"/>
    </w:pPr>
    <w:rPr>
      <w:rFonts w:ascii="Courier New" w:hAnsi="Courier New"/>
      <w:sz w:val="26"/>
    </w:rPr>
  </w:style>
  <w:style w:type="character" w:customStyle="1" w:styleId="Textoindependiente2Car">
    <w:name w:val="Texto independiente 2 Car"/>
    <w:basedOn w:val="Fuentedeprrafopredeter"/>
    <w:link w:val="Textoindependiente2"/>
    <w:uiPriority w:val="99"/>
    <w:semiHidden/>
    <w:rsid w:val="00235BD8"/>
    <w:rPr>
      <w:rFonts w:ascii="Courier New" w:eastAsia="Times New Roman" w:hAnsi="Courier New" w:cs="Times New Roman"/>
      <w:sz w:val="26"/>
      <w:szCs w:val="24"/>
      <w:lang w:val="es-PE" w:eastAsia="es-ES"/>
    </w:rPr>
  </w:style>
  <w:style w:type="paragraph" w:styleId="Sangra2detindependiente">
    <w:name w:val="Body Text Indent 2"/>
    <w:basedOn w:val="Normal"/>
    <w:link w:val="Sangra2detindependienteCar"/>
    <w:uiPriority w:val="99"/>
    <w:unhideWhenUsed/>
    <w:rsid w:val="00235BD8"/>
    <w:pPr>
      <w:spacing w:before="160" w:after="160" w:line="480" w:lineRule="auto"/>
      <w:ind w:left="1815" w:firstLine="309"/>
    </w:pPr>
    <w:rPr>
      <w:rFonts w:ascii="Courier New" w:hAnsi="Courier New" w:cs="Courier New"/>
    </w:rPr>
  </w:style>
  <w:style w:type="character" w:customStyle="1" w:styleId="Sangra2detindependienteCar">
    <w:name w:val="Sangría 2 de t. independiente Car"/>
    <w:basedOn w:val="Fuentedeprrafopredeter"/>
    <w:link w:val="Sangra2detindependiente"/>
    <w:uiPriority w:val="99"/>
    <w:rsid w:val="00235BD8"/>
    <w:rPr>
      <w:rFonts w:ascii="Courier New" w:eastAsia="Times New Roman" w:hAnsi="Courier New" w:cs="Courier New"/>
      <w:sz w:val="24"/>
      <w:szCs w:val="24"/>
      <w:lang w:eastAsia="es-ES"/>
    </w:rPr>
  </w:style>
  <w:style w:type="paragraph" w:styleId="Sangra3detindependiente">
    <w:name w:val="Body Text Indent 3"/>
    <w:basedOn w:val="Normal"/>
    <w:link w:val="Sangra3detindependienteCar"/>
    <w:unhideWhenUsed/>
    <w:rsid w:val="00235BD8"/>
    <w:pPr>
      <w:spacing w:after="120"/>
      <w:ind w:left="283"/>
    </w:pPr>
    <w:rPr>
      <w:rFonts w:ascii="Calibri" w:eastAsia="Calibri" w:hAnsi="Calibri"/>
      <w:sz w:val="16"/>
      <w:szCs w:val="16"/>
      <w:lang w:eastAsia="en-US"/>
    </w:rPr>
  </w:style>
  <w:style w:type="character" w:customStyle="1" w:styleId="Sangra3detindependienteCar">
    <w:name w:val="Sangría 3 de t. independiente Car"/>
    <w:basedOn w:val="Fuentedeprrafopredeter"/>
    <w:link w:val="Sangra3detindependiente"/>
    <w:rsid w:val="00235BD8"/>
    <w:rPr>
      <w:rFonts w:ascii="Calibri" w:eastAsia="Calibri" w:hAnsi="Calibri" w:cs="Times New Roman"/>
      <w:sz w:val="16"/>
      <w:szCs w:val="16"/>
      <w:lang w:val="es-PE"/>
    </w:rPr>
  </w:style>
  <w:style w:type="paragraph" w:customStyle="1" w:styleId="estilo64">
    <w:name w:val="estilo64"/>
    <w:basedOn w:val="Normal"/>
    <w:uiPriority w:val="99"/>
    <w:rsid w:val="00235BD8"/>
    <w:pPr>
      <w:spacing w:before="100" w:beforeAutospacing="1" w:after="100" w:afterAutospacing="1"/>
    </w:pPr>
    <w:rPr>
      <w:lang w:eastAsia="es-PE"/>
    </w:rPr>
  </w:style>
  <w:style w:type="paragraph" w:customStyle="1" w:styleId="cuerpo02">
    <w:name w:val="cuerpo_02"/>
    <w:basedOn w:val="Normal"/>
    <w:uiPriority w:val="99"/>
    <w:rsid w:val="00235BD8"/>
    <w:pPr>
      <w:spacing w:before="100" w:beforeAutospacing="1" w:after="100" w:afterAutospacing="1"/>
    </w:pPr>
    <w:rPr>
      <w:lang w:eastAsia="es-PE"/>
    </w:rPr>
  </w:style>
  <w:style w:type="paragraph" w:customStyle="1" w:styleId="Body">
    <w:name w:val="Body"/>
    <w:basedOn w:val="Normal"/>
    <w:uiPriority w:val="1"/>
    <w:qFormat/>
    <w:rsid w:val="00235BD8"/>
    <w:pPr>
      <w:widowControl w:val="0"/>
    </w:pPr>
    <w:rPr>
      <w:rFonts w:eastAsia="Arial"/>
      <w:lang w:val="en-US" w:eastAsia="en-US"/>
    </w:rPr>
  </w:style>
  <w:style w:type="paragraph" w:customStyle="1" w:styleId="Ttulo11">
    <w:name w:val="Título 11"/>
    <w:basedOn w:val="Normal"/>
    <w:uiPriority w:val="1"/>
    <w:qFormat/>
    <w:rsid w:val="00235BD8"/>
    <w:pPr>
      <w:widowControl w:val="0"/>
      <w:outlineLvl w:val="1"/>
    </w:pPr>
    <w:rPr>
      <w:rFonts w:eastAsia="Arial"/>
      <w:b/>
      <w:bCs/>
      <w:sz w:val="28"/>
      <w:szCs w:val="28"/>
      <w:lang w:val="en-US" w:eastAsia="en-US"/>
    </w:rPr>
  </w:style>
  <w:style w:type="paragraph" w:customStyle="1" w:styleId="Ttulo21">
    <w:name w:val="Título 21"/>
    <w:basedOn w:val="Normal"/>
    <w:uiPriority w:val="1"/>
    <w:qFormat/>
    <w:rsid w:val="00235BD8"/>
    <w:pPr>
      <w:widowControl w:val="0"/>
      <w:outlineLvl w:val="2"/>
    </w:pPr>
    <w:rPr>
      <w:rFonts w:eastAsia="Arial"/>
      <w:b/>
      <w:bCs/>
      <w:lang w:val="en-US" w:eastAsia="en-US"/>
    </w:rPr>
  </w:style>
  <w:style w:type="paragraph" w:customStyle="1" w:styleId="TableParagraph">
    <w:name w:val="Table Paragraph"/>
    <w:basedOn w:val="Normal"/>
    <w:uiPriority w:val="1"/>
    <w:qFormat/>
    <w:rsid w:val="00235BD8"/>
    <w:pPr>
      <w:widowControl w:val="0"/>
    </w:pPr>
    <w:rPr>
      <w:rFonts w:ascii="Calibri" w:eastAsia="Calibri" w:hAnsi="Calibri"/>
      <w:sz w:val="22"/>
      <w:szCs w:val="22"/>
      <w:lang w:val="en-US" w:eastAsia="en-US"/>
    </w:rPr>
  </w:style>
  <w:style w:type="paragraph" w:customStyle="1" w:styleId="01ARTCULO">
    <w:name w:val="01. ARTÕCULO"/>
    <w:uiPriority w:val="99"/>
    <w:rsid w:val="00235B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340"/>
    </w:pPr>
    <w:rPr>
      <w:rFonts w:ascii="Perpetua" w:eastAsia="Times New Roman" w:hAnsi="Perpetua" w:cs="Perpetua"/>
      <w:color w:val="000000"/>
      <w:sz w:val="23"/>
      <w:szCs w:val="23"/>
      <w:lang w:val="es-ES_tradnl" w:eastAsia="es-ES"/>
    </w:rPr>
  </w:style>
  <w:style w:type="paragraph" w:customStyle="1" w:styleId="acenter">
    <w:name w:val="acenter"/>
    <w:basedOn w:val="Normal"/>
    <w:uiPriority w:val="99"/>
    <w:rsid w:val="00235BD8"/>
    <w:pPr>
      <w:spacing w:before="100" w:beforeAutospacing="1" w:after="100" w:afterAutospacing="1"/>
    </w:pPr>
    <w:rPr>
      <w:lang w:eastAsia="es-PE"/>
    </w:rPr>
  </w:style>
  <w:style w:type="paragraph" w:customStyle="1" w:styleId="aleft">
    <w:name w:val="aleft"/>
    <w:basedOn w:val="Normal"/>
    <w:uiPriority w:val="99"/>
    <w:rsid w:val="00235BD8"/>
    <w:pPr>
      <w:spacing w:before="100" w:beforeAutospacing="1" w:after="100" w:afterAutospacing="1"/>
    </w:pPr>
    <w:rPr>
      <w:lang w:eastAsia="es-PE"/>
    </w:rPr>
  </w:style>
  <w:style w:type="paragraph" w:customStyle="1" w:styleId="info">
    <w:name w:val="info"/>
    <w:basedOn w:val="Normal"/>
    <w:uiPriority w:val="99"/>
    <w:rsid w:val="00235BD8"/>
    <w:pPr>
      <w:spacing w:before="100" w:beforeAutospacing="1" w:after="100" w:afterAutospacing="1"/>
    </w:pPr>
    <w:rPr>
      <w:lang w:eastAsia="es-PE"/>
    </w:rPr>
  </w:style>
  <w:style w:type="character" w:customStyle="1" w:styleId="ff52">
    <w:name w:val="ff52"/>
    <w:rsid w:val="00235BD8"/>
    <w:rPr>
      <w:rFonts w:ascii="Arial" w:hAnsi="Arial" w:cs="Arial" w:hint="default"/>
    </w:rPr>
  </w:style>
  <w:style w:type="character" w:customStyle="1" w:styleId="a">
    <w:name w:val="a"/>
    <w:basedOn w:val="Fuentedeprrafopredeter"/>
    <w:rsid w:val="00235BD8"/>
  </w:style>
  <w:style w:type="character" w:customStyle="1" w:styleId="l6">
    <w:name w:val="l6"/>
    <w:basedOn w:val="Fuentedeprrafopredeter"/>
    <w:rsid w:val="00235BD8"/>
  </w:style>
  <w:style w:type="character" w:customStyle="1" w:styleId="l8">
    <w:name w:val="l8"/>
    <w:basedOn w:val="Fuentedeprrafopredeter"/>
    <w:rsid w:val="00235BD8"/>
  </w:style>
  <w:style w:type="character" w:customStyle="1" w:styleId="l7">
    <w:name w:val="l7"/>
    <w:basedOn w:val="Fuentedeprrafopredeter"/>
    <w:rsid w:val="00235BD8"/>
  </w:style>
  <w:style w:type="character" w:customStyle="1" w:styleId="l9">
    <w:name w:val="l9"/>
    <w:basedOn w:val="Fuentedeprrafopredeter"/>
    <w:rsid w:val="00235BD8"/>
  </w:style>
  <w:style w:type="character" w:customStyle="1" w:styleId="l10">
    <w:name w:val="l10"/>
    <w:basedOn w:val="Fuentedeprrafopredeter"/>
    <w:rsid w:val="00235BD8"/>
  </w:style>
  <w:style w:type="character" w:customStyle="1" w:styleId="l">
    <w:name w:val="l"/>
    <w:basedOn w:val="Fuentedeprrafopredeter"/>
    <w:rsid w:val="00235BD8"/>
  </w:style>
  <w:style w:type="character" w:customStyle="1" w:styleId="estilo71">
    <w:name w:val="estilo71"/>
    <w:basedOn w:val="Fuentedeprrafopredeter"/>
    <w:rsid w:val="00235BD8"/>
  </w:style>
  <w:style w:type="character" w:customStyle="1" w:styleId="estilo57">
    <w:name w:val="estilo57"/>
    <w:basedOn w:val="Fuentedeprrafopredeter"/>
    <w:rsid w:val="00235BD8"/>
  </w:style>
  <w:style w:type="character" w:customStyle="1" w:styleId="estilo62">
    <w:name w:val="estilo62"/>
    <w:basedOn w:val="Fuentedeprrafopredeter"/>
    <w:rsid w:val="00235BD8"/>
  </w:style>
  <w:style w:type="character" w:customStyle="1" w:styleId="l12">
    <w:name w:val="l12"/>
    <w:basedOn w:val="Fuentedeprrafopredeter"/>
    <w:rsid w:val="00235BD8"/>
  </w:style>
  <w:style w:type="character" w:customStyle="1" w:styleId="l11">
    <w:name w:val="l11"/>
    <w:basedOn w:val="Fuentedeprrafopredeter"/>
    <w:rsid w:val="00235BD8"/>
  </w:style>
  <w:style w:type="character" w:customStyle="1" w:styleId="cuerpo">
    <w:name w:val="cuerpo"/>
    <w:basedOn w:val="Fuentedeprrafopredeter"/>
    <w:rsid w:val="00235BD8"/>
  </w:style>
  <w:style w:type="character" w:customStyle="1" w:styleId="nump1">
    <w:name w:val="nump1"/>
    <w:uiPriority w:val="99"/>
    <w:rsid w:val="00235BD8"/>
    <w:rPr>
      <w:rFonts w:ascii="Georgia" w:hAnsi="Georgia" w:cs="Georgia" w:hint="default"/>
      <w:color w:val="auto"/>
      <w:sz w:val="19"/>
      <w:szCs w:val="19"/>
    </w:rPr>
  </w:style>
  <w:style w:type="character" w:customStyle="1" w:styleId="textonormal">
    <w:name w:val="texto_normal"/>
    <w:basedOn w:val="Fuentedeprrafopredeter"/>
    <w:rsid w:val="00235BD8"/>
  </w:style>
  <w:style w:type="character" w:customStyle="1" w:styleId="tecladeacceso">
    <w:name w:val="tecladeacceso"/>
    <w:basedOn w:val="Fuentedeprrafopredeter"/>
    <w:rsid w:val="00235BD8"/>
  </w:style>
  <w:style w:type="paragraph" w:styleId="z-Principiodelformulario">
    <w:name w:val="HTML Top of Form"/>
    <w:basedOn w:val="Normal"/>
    <w:next w:val="Normal"/>
    <w:link w:val="z-PrincipiodelformularioCar"/>
    <w:hidden/>
    <w:uiPriority w:val="99"/>
    <w:semiHidden/>
    <w:unhideWhenUsed/>
    <w:rsid w:val="00235BD8"/>
    <w:pPr>
      <w:pBdr>
        <w:bottom w:val="single" w:sz="6" w:space="1" w:color="auto"/>
      </w:pBdr>
      <w:jc w:val="center"/>
    </w:pPr>
    <w:rPr>
      <w:rFonts w:cs="Arial"/>
      <w:vanish/>
      <w:sz w:val="16"/>
      <w:szCs w:val="16"/>
    </w:rPr>
  </w:style>
  <w:style w:type="character" w:customStyle="1" w:styleId="z-PrincipiodelformularioCar">
    <w:name w:val="z-Principio del formulario Car"/>
    <w:basedOn w:val="Fuentedeprrafopredeter"/>
    <w:link w:val="z-Principiodelformulario"/>
    <w:uiPriority w:val="99"/>
    <w:semiHidden/>
    <w:rsid w:val="00235BD8"/>
    <w:rPr>
      <w:rFonts w:ascii="Arial" w:eastAsia="Times New Roman" w:hAnsi="Arial" w:cs="Arial"/>
      <w:vanish/>
      <w:sz w:val="16"/>
      <w:szCs w:val="16"/>
      <w:lang w:val="es-PE" w:eastAsia="es-ES"/>
    </w:rPr>
  </w:style>
  <w:style w:type="paragraph" w:styleId="z-Finaldelformulario">
    <w:name w:val="HTML Bottom of Form"/>
    <w:basedOn w:val="Normal"/>
    <w:next w:val="Normal"/>
    <w:link w:val="z-FinaldelformularioCar"/>
    <w:hidden/>
    <w:uiPriority w:val="99"/>
    <w:semiHidden/>
    <w:unhideWhenUsed/>
    <w:rsid w:val="00235BD8"/>
    <w:pPr>
      <w:pBdr>
        <w:top w:val="single" w:sz="6" w:space="1" w:color="auto"/>
      </w:pBdr>
      <w:jc w:val="center"/>
    </w:pPr>
    <w:rPr>
      <w:rFonts w:cs="Arial"/>
      <w:vanish/>
      <w:sz w:val="16"/>
      <w:szCs w:val="16"/>
    </w:rPr>
  </w:style>
  <w:style w:type="character" w:customStyle="1" w:styleId="z-FinaldelformularioCar">
    <w:name w:val="z-Final del formulario Car"/>
    <w:basedOn w:val="Fuentedeprrafopredeter"/>
    <w:link w:val="z-Finaldelformulario"/>
    <w:uiPriority w:val="99"/>
    <w:semiHidden/>
    <w:rsid w:val="00235BD8"/>
    <w:rPr>
      <w:rFonts w:ascii="Arial" w:eastAsia="Times New Roman" w:hAnsi="Arial" w:cs="Arial"/>
      <w:vanish/>
      <w:sz w:val="16"/>
      <w:szCs w:val="16"/>
      <w:lang w:val="es-PE" w:eastAsia="es-ES"/>
    </w:rPr>
  </w:style>
  <w:style w:type="character" w:customStyle="1" w:styleId="titulo">
    <w:name w:val="titulo"/>
    <w:basedOn w:val="Fuentedeprrafopredeter"/>
    <w:rsid w:val="00235BD8"/>
  </w:style>
  <w:style w:type="character" w:customStyle="1" w:styleId="subtitulo">
    <w:name w:val="subtitulo"/>
    <w:basedOn w:val="Fuentedeprrafopredeter"/>
    <w:rsid w:val="00235BD8"/>
  </w:style>
  <w:style w:type="character" w:customStyle="1" w:styleId="comment-author">
    <w:name w:val="comment-author"/>
    <w:basedOn w:val="Fuentedeprrafopredeter"/>
    <w:rsid w:val="00235BD8"/>
  </w:style>
  <w:style w:type="character" w:customStyle="1" w:styleId="Fecha1">
    <w:name w:val="Fecha1"/>
    <w:basedOn w:val="Fuentedeprrafopredeter"/>
    <w:rsid w:val="00235BD8"/>
  </w:style>
  <w:style w:type="character" w:customStyle="1" w:styleId="locality">
    <w:name w:val="locality"/>
    <w:basedOn w:val="Fuentedeprrafopredeter"/>
    <w:rsid w:val="00235BD8"/>
  </w:style>
  <w:style w:type="character" w:customStyle="1" w:styleId="country-name">
    <w:name w:val="country-name"/>
    <w:basedOn w:val="Fuentedeprrafopredeter"/>
    <w:rsid w:val="00235BD8"/>
  </w:style>
  <w:style w:type="character" w:customStyle="1" w:styleId="lastcommentscount">
    <w:name w:val="last_comments_count"/>
    <w:basedOn w:val="Fuentedeprrafopredeter"/>
    <w:rsid w:val="00235BD8"/>
  </w:style>
  <w:style w:type="character" w:customStyle="1" w:styleId="mw-headline">
    <w:name w:val="mw-headline"/>
    <w:basedOn w:val="Fuentedeprrafopredeter"/>
    <w:rsid w:val="00235BD8"/>
  </w:style>
  <w:style w:type="paragraph" w:customStyle="1" w:styleId="ecxecmsonormal">
    <w:name w:val="ecxec_msonormal"/>
    <w:basedOn w:val="Normal"/>
    <w:rsid w:val="00235BD8"/>
    <w:pPr>
      <w:spacing w:after="324"/>
    </w:pPr>
    <w:rPr>
      <w:lang w:eastAsia="es-PE"/>
    </w:rPr>
  </w:style>
  <w:style w:type="paragraph" w:customStyle="1" w:styleId="ececmsobodytext">
    <w:name w:val="ec_ec_msobodytext"/>
    <w:basedOn w:val="Normal"/>
    <w:rsid w:val="00235BD8"/>
    <w:pPr>
      <w:spacing w:after="324"/>
    </w:pPr>
  </w:style>
  <w:style w:type="character" w:customStyle="1" w:styleId="longtext1">
    <w:name w:val="long_text1"/>
    <w:basedOn w:val="Fuentedeprrafopredeter"/>
    <w:rsid w:val="00235BD8"/>
    <w:rPr>
      <w:sz w:val="20"/>
      <w:szCs w:val="20"/>
    </w:rPr>
  </w:style>
  <w:style w:type="character" w:customStyle="1" w:styleId="item">
    <w:name w:val="item"/>
    <w:basedOn w:val="Fuentedeprrafopredeter"/>
    <w:rsid w:val="00235BD8"/>
  </w:style>
  <w:style w:type="paragraph" w:customStyle="1" w:styleId="item1">
    <w:name w:val="item1"/>
    <w:basedOn w:val="Normal"/>
    <w:rsid w:val="00235BD8"/>
    <w:pPr>
      <w:spacing w:before="100" w:beforeAutospacing="1" w:after="100" w:afterAutospacing="1"/>
    </w:pPr>
    <w:rPr>
      <w:lang w:eastAsia="es-PE"/>
    </w:rPr>
  </w:style>
  <w:style w:type="paragraph" w:customStyle="1" w:styleId="margen05">
    <w:name w:val="margen05"/>
    <w:basedOn w:val="Normal"/>
    <w:rsid w:val="00235BD8"/>
    <w:pPr>
      <w:spacing w:before="100" w:beforeAutospacing="1" w:after="100" w:afterAutospacing="1"/>
      <w:ind w:left="612"/>
    </w:pPr>
    <w:rPr>
      <w:rFonts w:eastAsia="Calibri" w:cs="Arial"/>
      <w:color w:val="000000"/>
    </w:rPr>
  </w:style>
  <w:style w:type="paragraph" w:styleId="Textoindependiente3">
    <w:name w:val="Body Text 3"/>
    <w:basedOn w:val="Normal"/>
    <w:link w:val="Textoindependiente3Car"/>
    <w:uiPriority w:val="99"/>
    <w:rsid w:val="00235BD8"/>
    <w:pPr>
      <w:spacing w:after="120"/>
    </w:pPr>
    <w:rPr>
      <w:sz w:val="16"/>
      <w:szCs w:val="16"/>
    </w:rPr>
  </w:style>
  <w:style w:type="character" w:customStyle="1" w:styleId="Textoindependiente3Car">
    <w:name w:val="Texto independiente 3 Car"/>
    <w:basedOn w:val="Fuentedeprrafopredeter"/>
    <w:link w:val="Textoindependiente3"/>
    <w:uiPriority w:val="99"/>
    <w:rsid w:val="00235BD8"/>
    <w:rPr>
      <w:rFonts w:ascii="Times New Roman" w:eastAsia="Times New Roman" w:hAnsi="Times New Roman" w:cs="Times New Roman"/>
      <w:sz w:val="16"/>
      <w:szCs w:val="16"/>
      <w:lang w:eastAsia="es-ES"/>
    </w:rPr>
  </w:style>
  <w:style w:type="paragraph" w:customStyle="1" w:styleId="Ttulo12">
    <w:name w:val="Título 12"/>
    <w:basedOn w:val="Normal"/>
    <w:uiPriority w:val="1"/>
    <w:qFormat/>
    <w:rsid w:val="00235BD8"/>
    <w:pPr>
      <w:widowControl w:val="0"/>
      <w:outlineLvl w:val="1"/>
    </w:pPr>
    <w:rPr>
      <w:rFonts w:eastAsia="Arial"/>
      <w:b/>
      <w:bCs/>
      <w:sz w:val="28"/>
      <w:szCs w:val="28"/>
      <w:lang w:val="en-US" w:eastAsia="en-US"/>
    </w:rPr>
  </w:style>
  <w:style w:type="paragraph" w:customStyle="1" w:styleId="Ttulo22">
    <w:name w:val="Título 22"/>
    <w:basedOn w:val="Normal"/>
    <w:uiPriority w:val="1"/>
    <w:qFormat/>
    <w:rsid w:val="00235BD8"/>
    <w:pPr>
      <w:widowControl w:val="0"/>
      <w:outlineLvl w:val="2"/>
    </w:pPr>
    <w:rPr>
      <w:rFonts w:eastAsia="Arial"/>
      <w:b/>
      <w:bCs/>
      <w:lang w:val="en-US" w:eastAsia="en-US"/>
    </w:rPr>
  </w:style>
  <w:style w:type="character" w:customStyle="1" w:styleId="Fecha2">
    <w:name w:val="Fecha2"/>
    <w:basedOn w:val="Fuentedeprrafopredeter"/>
    <w:rsid w:val="00235BD8"/>
  </w:style>
  <w:style w:type="paragraph" w:customStyle="1" w:styleId="ecxmsonormal">
    <w:name w:val="ecxmsonormal"/>
    <w:basedOn w:val="Normal"/>
    <w:rsid w:val="00235BD8"/>
    <w:pPr>
      <w:spacing w:after="324"/>
    </w:pPr>
    <w:rPr>
      <w:lang w:eastAsia="es-PE"/>
    </w:rPr>
  </w:style>
  <w:style w:type="paragraph" w:customStyle="1" w:styleId="rtejustify">
    <w:name w:val="rtejustify"/>
    <w:basedOn w:val="Normal"/>
    <w:rsid w:val="00235BD8"/>
    <w:pPr>
      <w:spacing w:before="100" w:beforeAutospacing="1" w:after="100" w:afterAutospacing="1"/>
    </w:pPr>
    <w:rPr>
      <w:lang w:eastAsia="es-PE"/>
    </w:rPr>
  </w:style>
  <w:style w:type="character" w:customStyle="1" w:styleId="bold">
    <w:name w:val="bold"/>
    <w:basedOn w:val="Fuentedeprrafopredeter"/>
    <w:rsid w:val="00235BD8"/>
  </w:style>
  <w:style w:type="character" w:customStyle="1" w:styleId="estilo25">
    <w:name w:val="estilo25"/>
    <w:basedOn w:val="Fuentedeprrafopredeter"/>
    <w:rsid w:val="00235BD8"/>
  </w:style>
  <w:style w:type="paragraph" w:customStyle="1" w:styleId="estilo39">
    <w:name w:val="estilo39"/>
    <w:basedOn w:val="Normal"/>
    <w:rsid w:val="00235BD8"/>
    <w:pPr>
      <w:spacing w:before="100" w:beforeAutospacing="1" w:after="100" w:afterAutospacing="1"/>
    </w:pPr>
    <w:rPr>
      <w:lang w:eastAsia="es-PE"/>
    </w:rPr>
  </w:style>
  <w:style w:type="character" w:customStyle="1" w:styleId="expanded">
    <w:name w:val="expanded"/>
    <w:basedOn w:val="Fuentedeprrafopredeter"/>
    <w:rsid w:val="00235BD8"/>
  </w:style>
  <w:style w:type="character" w:customStyle="1" w:styleId="NormalAntonyCar">
    <w:name w:val="NormalAntony Car"/>
    <w:link w:val="NormalAntony"/>
    <w:rsid w:val="005427CF"/>
    <w:rPr>
      <w:rFonts w:eastAsia="Times New Roman"/>
      <w:bCs/>
      <w:lang w:val="es-ES_tradnl" w:eastAsia="es-ES"/>
    </w:rPr>
  </w:style>
  <w:style w:type="paragraph" w:customStyle="1" w:styleId="TIEspanol">
    <w:name w:val="TIEspanol"/>
    <w:basedOn w:val="Normal"/>
    <w:next w:val="Normal"/>
    <w:qFormat/>
    <w:rsid w:val="003B733B"/>
    <w:pPr>
      <w:spacing w:after="170"/>
      <w:jc w:val="center"/>
      <w:outlineLvl w:val="0"/>
    </w:pPr>
    <w:rPr>
      <w:rFonts w:eastAsiaTheme="minorHAnsi" w:cstheme="minorBidi"/>
      <w:b/>
      <w:szCs w:val="22"/>
      <w:lang w:eastAsia="en-US"/>
    </w:rPr>
  </w:style>
  <w:style w:type="paragraph" w:customStyle="1" w:styleId="TIIngles">
    <w:name w:val="TIIngles"/>
    <w:basedOn w:val="TIEspanol"/>
    <w:qFormat/>
    <w:rsid w:val="003B733B"/>
  </w:style>
  <w:style w:type="paragraph" w:customStyle="1" w:styleId="Titulo1">
    <w:name w:val="Titulo 1"/>
    <w:basedOn w:val="TIEspanol"/>
    <w:qFormat/>
    <w:rsid w:val="005F1B7C"/>
    <w:pPr>
      <w:spacing w:before="113" w:after="113"/>
      <w:jc w:val="left"/>
    </w:pPr>
  </w:style>
  <w:style w:type="table" w:customStyle="1" w:styleId="AntonysStyle">
    <w:name w:val="Antony's Style"/>
    <w:basedOn w:val="Tablanormal"/>
    <w:uiPriority w:val="99"/>
    <w:rsid w:val="00605A8A"/>
    <w:pPr>
      <w:jc w:val="center"/>
    </w:pPr>
    <w:rPr>
      <w:sz w:val="18"/>
    </w:rPr>
    <w:tblPr>
      <w:jc w:val="center"/>
      <w:tblBorders>
        <w:insideV w:val="double" w:sz="4" w:space="0" w:color="FFFFFF" w:themeColor="background1"/>
      </w:tblBorders>
    </w:tblPr>
    <w:trPr>
      <w:jc w:val="center"/>
    </w:trPr>
    <w:tcPr>
      <w:shd w:val="clear" w:color="auto" w:fill="auto"/>
      <w:vAlign w:val="center"/>
    </w:tcPr>
    <w:tblStylePr w:type="firstRow">
      <w:pPr>
        <w:jc w:val="center"/>
      </w:pPr>
      <w:rPr>
        <w:rFonts w:ascii="Arial" w:hAnsi="Arial"/>
        <w:sz w:val="18"/>
      </w:rPr>
      <w:tblPr/>
      <w:tcPr>
        <w:tcBorders>
          <w:top w:val="double" w:sz="4" w:space="0" w:color="auto"/>
          <w:left w:val="nil"/>
          <w:bottom w:val="double" w:sz="4" w:space="0" w:color="auto"/>
          <w:right w:val="nil"/>
          <w:insideH w:val="nil"/>
          <w:insideV w:val="nil"/>
          <w:tl2br w:val="nil"/>
          <w:tr2bl w:val="nil"/>
        </w:tcBorders>
      </w:tcPr>
    </w:tblStylePr>
  </w:style>
  <w:style w:type="paragraph" w:customStyle="1" w:styleId="NormalAntonyCita">
    <w:name w:val="NormalAntony(Cita)"/>
    <w:basedOn w:val="NormalAntony"/>
    <w:next w:val="NormalAntony"/>
    <w:rsid w:val="006C393E"/>
    <w:pPr>
      <w:ind w:left="708"/>
    </w:pPr>
    <w:rPr>
      <w:szCs w:val="22"/>
    </w:rPr>
  </w:style>
  <w:style w:type="character" w:customStyle="1" w:styleId="orcid-id-https">
    <w:name w:val="orcid-id-https"/>
    <w:basedOn w:val="Fuentedeprrafopredeter"/>
    <w:rsid w:val="00236182"/>
  </w:style>
  <w:style w:type="character" w:customStyle="1" w:styleId="Mencinsinresolver1">
    <w:name w:val="Mención sin resolver1"/>
    <w:basedOn w:val="Fuentedeprrafopredeter"/>
    <w:uiPriority w:val="99"/>
    <w:semiHidden/>
    <w:unhideWhenUsed/>
    <w:rsid w:val="00356053"/>
    <w:rPr>
      <w:color w:val="605E5C"/>
      <w:shd w:val="clear" w:color="auto" w:fill="E1DFDD"/>
    </w:rPr>
  </w:style>
  <w:style w:type="character" w:customStyle="1" w:styleId="reference-accessdate">
    <w:name w:val="reference-accessdate"/>
    <w:basedOn w:val="Fuentedeprrafopredeter"/>
    <w:rsid w:val="00526575"/>
  </w:style>
  <w:style w:type="character" w:customStyle="1" w:styleId="y2iqfc">
    <w:name w:val="y2iqfc"/>
    <w:basedOn w:val="Fuentedeprrafopredeter"/>
    <w:rsid w:val="00526575"/>
  </w:style>
  <w:style w:type="character" w:customStyle="1" w:styleId="ts-alignment-element">
    <w:name w:val="ts-alignment-element"/>
    <w:basedOn w:val="Fuentedeprrafopredeter"/>
    <w:rsid w:val="00DD6D18"/>
  </w:style>
  <w:style w:type="character" w:customStyle="1" w:styleId="ts-alignment-element-highlighted">
    <w:name w:val="ts-alignment-element-highlighted"/>
    <w:basedOn w:val="Fuentedeprrafopredeter"/>
    <w:rsid w:val="00DD6D18"/>
  </w:style>
  <w:style w:type="table" w:customStyle="1" w:styleId="48">
    <w:name w:val="48"/>
    <w:basedOn w:val="Tablanormal"/>
    <w:rsid w:val="007C21D1"/>
    <w:pPr>
      <w:widowControl w:val="0"/>
    </w:pPr>
    <w:rPr>
      <w:rFonts w:ascii="Arial MT" w:eastAsia="Arial MT" w:hAnsi="Arial MT" w:cs="Arial MT"/>
    </w:rPr>
    <w:tblPr>
      <w:tblStyleRowBandSize w:val="1"/>
      <w:tblStyleColBandSize w:val="1"/>
      <w:tblInd w:w="0" w:type="nil"/>
      <w:tblCellMar>
        <w:top w:w="100" w:type="dxa"/>
        <w:bottom w:w="100" w:type="dxa"/>
      </w:tblCellMar>
    </w:tblPr>
  </w:style>
  <w:style w:type="paragraph" w:customStyle="1" w:styleId="Prrafobsico">
    <w:name w:val="[Párrafo básico]"/>
    <w:basedOn w:val="Normal"/>
    <w:uiPriority w:val="99"/>
    <w:rsid w:val="006649B5"/>
    <w:pPr>
      <w:autoSpaceDE w:val="0"/>
      <w:autoSpaceDN w:val="0"/>
      <w:adjustRightInd w:val="0"/>
      <w:spacing w:line="288" w:lineRule="auto"/>
      <w:textAlignment w:val="center"/>
    </w:pPr>
    <w:rPr>
      <w:rFonts w:ascii="Minion Pro" w:eastAsiaTheme="minorHAnsi" w:hAnsi="Minion Pro" w:cs="Minion Pro"/>
      <w:color w:val="000000"/>
      <w:lang w:val="es-ES_tradnl" w:eastAsia="en-US"/>
    </w:rPr>
  </w:style>
  <w:style w:type="character" w:customStyle="1" w:styleId="A2">
    <w:name w:val="A2"/>
    <w:uiPriority w:val="99"/>
    <w:rsid w:val="00445F51"/>
    <w:rPr>
      <w:rFonts w:cs="Zizou Slab Regular"/>
      <w:color w:val="221E1F"/>
      <w:sz w:val="19"/>
      <w:szCs w:val="19"/>
    </w:rPr>
  </w:style>
  <w:style w:type="character" w:customStyle="1" w:styleId="author-name">
    <w:name w:val="author-name"/>
    <w:basedOn w:val="Fuentedeprrafopredeter"/>
    <w:rsid w:val="00445F51"/>
  </w:style>
  <w:style w:type="character" w:customStyle="1" w:styleId="versalitas">
    <w:name w:val="versalitas"/>
    <w:basedOn w:val="Fuentedeprrafopredeter"/>
    <w:rsid w:val="00445F51"/>
  </w:style>
  <w:style w:type="table" w:customStyle="1" w:styleId="Tablaconcuadrcula1">
    <w:name w:val="Tabla con cuadrícula1"/>
    <w:basedOn w:val="Tablanormal"/>
    <w:next w:val="Tablaconcuadrcula"/>
    <w:uiPriority w:val="59"/>
    <w:rsid w:val="00445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metadata-label">
    <w:name w:val="so-metadata-label"/>
    <w:basedOn w:val="Fuentedeprrafopredeter"/>
    <w:rsid w:val="00445F51"/>
  </w:style>
  <w:style w:type="paragraph" w:customStyle="1" w:styleId="Pa4">
    <w:name w:val="Pa4"/>
    <w:basedOn w:val="Default"/>
    <w:next w:val="Default"/>
    <w:uiPriority w:val="99"/>
    <w:rsid w:val="00445F51"/>
    <w:pPr>
      <w:spacing w:line="201" w:lineRule="atLeast"/>
    </w:pPr>
    <w:rPr>
      <w:rFonts w:ascii="Helvetica LT Std Light" w:hAnsi="Helvetica LT Std Light" w:cstheme="minorBidi"/>
      <w:color w:val="auto"/>
    </w:rPr>
  </w:style>
  <w:style w:type="paragraph" w:customStyle="1" w:styleId="Pa7">
    <w:name w:val="Pa7"/>
    <w:basedOn w:val="Default"/>
    <w:next w:val="Default"/>
    <w:uiPriority w:val="99"/>
    <w:rsid w:val="00445F51"/>
    <w:pPr>
      <w:spacing w:line="161" w:lineRule="atLeast"/>
    </w:pPr>
    <w:rPr>
      <w:rFonts w:ascii="Helvetica LT Std Light" w:hAnsi="Helvetica LT Std Light" w:cstheme="minorBidi"/>
      <w:color w:val="auto"/>
    </w:rPr>
  </w:style>
  <w:style w:type="character" w:customStyle="1" w:styleId="A0">
    <w:name w:val="A0"/>
    <w:uiPriority w:val="99"/>
    <w:rsid w:val="00445F51"/>
    <w:rPr>
      <w:rFonts w:cs="Helvetica LT Std Light"/>
      <w:color w:val="000000"/>
      <w:sz w:val="20"/>
      <w:szCs w:val="20"/>
    </w:rPr>
  </w:style>
  <w:style w:type="paragraph" w:customStyle="1" w:styleId="sub-subsec">
    <w:name w:val="sub-subsec"/>
    <w:basedOn w:val="Normal"/>
    <w:rsid w:val="00E23C89"/>
    <w:pPr>
      <w:spacing w:before="100" w:beforeAutospacing="1" w:after="100" w:afterAutospacing="1"/>
    </w:pPr>
    <w:rPr>
      <w:lang w:eastAsia="es-PE"/>
    </w:rPr>
  </w:style>
  <w:style w:type="table" w:customStyle="1" w:styleId="Tablanormal21">
    <w:name w:val="Tabla normal 21"/>
    <w:basedOn w:val="Tablanormal"/>
    <w:uiPriority w:val="42"/>
    <w:rsid w:val="00BC2A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delista6concolores1">
    <w:name w:val="Tabla de lista 6 con colores1"/>
    <w:basedOn w:val="Tablanormal"/>
    <w:uiPriority w:val="51"/>
    <w:rsid w:val="00AB7A68"/>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6concolores11">
    <w:name w:val="Tabla de lista 6 con colores11"/>
    <w:basedOn w:val="Tablanormal"/>
    <w:uiPriority w:val="51"/>
    <w:rsid w:val="00AB7A68"/>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5oscura-nfasis11">
    <w:name w:val="Tabla de cuadrícula 5 oscura - Énfasis 11"/>
    <w:basedOn w:val="Tablanormal"/>
    <w:uiPriority w:val="50"/>
    <w:rsid w:val="00AB7A6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character" w:customStyle="1" w:styleId="Mencinsinresolver2">
    <w:name w:val="Mención sin resolver2"/>
    <w:basedOn w:val="Fuentedeprrafopredeter"/>
    <w:uiPriority w:val="99"/>
    <w:semiHidden/>
    <w:unhideWhenUsed/>
    <w:rsid w:val="001564E6"/>
    <w:rPr>
      <w:color w:val="605E5C"/>
      <w:shd w:val="clear" w:color="auto" w:fill="E1DFDD"/>
    </w:rPr>
  </w:style>
  <w:style w:type="paragraph" w:customStyle="1" w:styleId="REDIEcuerpotexto">
    <w:name w:val="REDIE_cuerpo texto"/>
    <w:basedOn w:val="Normal"/>
    <w:autoRedefine/>
    <w:rsid w:val="00AA2922"/>
    <w:pPr>
      <w:widowControl w:val="0"/>
      <w:spacing w:after="240" w:line="276" w:lineRule="auto"/>
    </w:pPr>
    <w:rPr>
      <w:rFonts w:cs="Arial"/>
      <w:sz w:val="22"/>
      <w:szCs w:val="22"/>
      <w:lang w:val="en-US" w:eastAsia="en-US"/>
    </w:rPr>
  </w:style>
  <w:style w:type="table" w:customStyle="1" w:styleId="Tabladelista21">
    <w:name w:val="Tabla de lista 21"/>
    <w:basedOn w:val="Tablanormal"/>
    <w:uiPriority w:val="47"/>
    <w:rsid w:val="00AA2922"/>
    <w:rPr>
      <w:rFonts w:ascii="Times New Roman" w:hAnsi="Times New Roma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1307817811380964003msolistparagraph">
    <w:name w:val="m_1307817811380964003msolistparagraph"/>
    <w:basedOn w:val="Normal"/>
    <w:rsid w:val="00AA2922"/>
    <w:pPr>
      <w:spacing w:before="100" w:beforeAutospacing="1" w:after="100" w:afterAutospacing="1"/>
    </w:pPr>
    <w:rPr>
      <w:lang w:val="es-MX" w:eastAsia="es-MX"/>
    </w:rPr>
  </w:style>
  <w:style w:type="character" w:customStyle="1" w:styleId="NormaAntonyGTCar">
    <w:name w:val="NormaAntonyGT Car"/>
    <w:basedOn w:val="NormalAntonyCar"/>
    <w:link w:val="NormaAntonyGT"/>
    <w:locked/>
    <w:rsid w:val="001C76E4"/>
    <w:rPr>
      <w:rFonts w:ascii="Arial" w:eastAsia="Times New Roman" w:hAnsi="Arial" w:cs="Arial"/>
      <w:bCs/>
      <w:sz w:val="20"/>
      <w:szCs w:val="24"/>
      <w:lang w:val="es-ES_tradnl" w:eastAsia="es-ES"/>
    </w:rPr>
  </w:style>
  <w:style w:type="paragraph" w:customStyle="1" w:styleId="NortamalAntonyGTCurs">
    <w:name w:val="NortamalAntonyGTCurs"/>
    <w:basedOn w:val="NormaAntonyGT"/>
    <w:next w:val="NormalAntony"/>
    <w:uiPriority w:val="99"/>
    <w:qFormat/>
    <w:rsid w:val="001C76E4"/>
    <w:pPr>
      <w:spacing w:line="240" w:lineRule="auto"/>
      <w:jc w:val="left"/>
    </w:pPr>
    <w:rPr>
      <w:rFonts w:eastAsia="Calibri"/>
      <w:i/>
    </w:rPr>
  </w:style>
  <w:style w:type="table" w:customStyle="1" w:styleId="TableGrid">
    <w:name w:val="TableGrid"/>
    <w:rsid w:val="0023228F"/>
    <w:rPr>
      <w:rFonts w:eastAsiaTheme="minorEastAsia"/>
    </w:rPr>
    <w:tblPr>
      <w:tblCellMar>
        <w:top w:w="0" w:type="dxa"/>
        <w:left w:w="0" w:type="dxa"/>
        <w:bottom w:w="0" w:type="dxa"/>
        <w:right w:w="0" w:type="dxa"/>
      </w:tblCellMar>
    </w:tblPr>
  </w:style>
  <w:style w:type="table" w:styleId="Tablanormal2">
    <w:name w:val="Plain Table 2"/>
    <w:basedOn w:val="Tablanormal"/>
    <w:uiPriority w:val="42"/>
    <w:rsid w:val="006D09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4">
    <w:name w:val="Table Normal"/>
    <w:uiPriority w:val="2"/>
    <w:semiHidden/>
    <w:unhideWhenUsed/>
    <w:qFormat/>
    <w:rsid w:val="00FA5F5D"/>
    <w:pPr>
      <w:widowControl w:val="0"/>
      <w:autoSpaceDE w:val="0"/>
      <w:autoSpaceDN w:val="0"/>
    </w:pPr>
    <w:rPr>
      <w:lang w:val="en-US"/>
    </w:rPr>
    <w:tblPr>
      <w:tblInd w:w="0" w:type="dxa"/>
      <w:tblCellMar>
        <w:top w:w="0" w:type="dxa"/>
        <w:left w:w="0" w:type="dxa"/>
        <w:bottom w:w="0" w:type="dxa"/>
        <w:right w:w="0" w:type="dxa"/>
      </w:tblCellMar>
    </w:tblPr>
  </w:style>
  <w:style w:type="table" w:styleId="Tabladelista6concolores">
    <w:name w:val="List Table 6 Colorful"/>
    <w:basedOn w:val="Tablanormal"/>
    <w:uiPriority w:val="51"/>
    <w:rsid w:val="009A452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50">
    <w:name w:val="Tabla con cuadrícula5"/>
    <w:basedOn w:val="Tablanormal"/>
    <w:next w:val="Tablaconcuadrcula"/>
    <w:uiPriority w:val="39"/>
    <w:rsid w:val="001F707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91669B"/>
    <w:rPr>
      <w:rFonts w:eastAsia="Times New Roman"/>
    </w:rPr>
    <w:tblPr>
      <w:tblCellMar>
        <w:top w:w="0" w:type="dxa"/>
        <w:left w:w="0" w:type="dxa"/>
        <w:bottom w:w="0" w:type="dxa"/>
        <w:right w:w="0" w:type="dxa"/>
      </w:tblCellMar>
    </w:tblPr>
  </w:style>
  <w:style w:type="character" w:customStyle="1" w:styleId="Cuerpodeltexto">
    <w:name w:val="Cuerpo del texto_"/>
    <w:basedOn w:val="Fuentedeprrafopredeter"/>
    <w:link w:val="Cuerpodeltexto0"/>
    <w:rsid w:val="002B2DE1"/>
    <w:rPr>
      <w:rFonts w:ascii="Arial" w:eastAsia="Arial" w:hAnsi="Arial" w:cs="Arial"/>
    </w:rPr>
  </w:style>
  <w:style w:type="paragraph" w:customStyle="1" w:styleId="Cuerpodeltexto0">
    <w:name w:val="Cuerpo del texto"/>
    <w:basedOn w:val="Normal"/>
    <w:link w:val="Cuerpodeltexto"/>
    <w:rsid w:val="002B2DE1"/>
    <w:pPr>
      <w:widowControl w:val="0"/>
      <w:spacing w:after="420"/>
    </w:pPr>
    <w:rPr>
      <w:rFonts w:eastAsia="Arial" w:cs="Arial"/>
      <w:sz w:val="22"/>
      <w:szCs w:val="22"/>
      <w:lang w:eastAsia="en-US"/>
    </w:rPr>
  </w:style>
  <w:style w:type="character" w:customStyle="1" w:styleId="Leyendadelaimagen">
    <w:name w:val="Leyenda de la imagen_"/>
    <w:basedOn w:val="Fuentedeprrafopredeter"/>
    <w:link w:val="Leyendadelaimagen0"/>
    <w:rsid w:val="002B2DE1"/>
    <w:rPr>
      <w:rFonts w:ascii="Arial" w:eastAsia="Arial" w:hAnsi="Arial" w:cs="Arial"/>
      <w:b/>
      <w:bCs/>
      <w:sz w:val="20"/>
      <w:szCs w:val="20"/>
    </w:rPr>
  </w:style>
  <w:style w:type="character" w:customStyle="1" w:styleId="Leyendadelatabla">
    <w:name w:val="Leyenda de la tabla_"/>
    <w:basedOn w:val="Fuentedeprrafopredeter"/>
    <w:link w:val="Leyendadelatabla0"/>
    <w:rsid w:val="002B2DE1"/>
    <w:rPr>
      <w:rFonts w:ascii="Arial" w:eastAsia="Arial" w:hAnsi="Arial" w:cs="Arial"/>
      <w:i w:val="0"/>
      <w:iCs/>
    </w:rPr>
  </w:style>
  <w:style w:type="character" w:customStyle="1" w:styleId="Otro">
    <w:name w:val="Otro_"/>
    <w:basedOn w:val="Fuentedeprrafopredeter"/>
    <w:link w:val="Otro0"/>
    <w:rsid w:val="002B2DE1"/>
    <w:rPr>
      <w:rFonts w:ascii="Arial" w:eastAsia="Arial" w:hAnsi="Arial" w:cs="Arial"/>
    </w:rPr>
  </w:style>
  <w:style w:type="paragraph" w:customStyle="1" w:styleId="Leyendadelaimagen0">
    <w:name w:val="Leyenda de la imagen"/>
    <w:basedOn w:val="Normal"/>
    <w:link w:val="Leyendadelaimagen"/>
    <w:rsid w:val="002B2DE1"/>
    <w:pPr>
      <w:widowControl w:val="0"/>
    </w:pPr>
    <w:rPr>
      <w:rFonts w:eastAsia="Arial" w:cs="Arial"/>
      <w:b/>
      <w:bCs/>
      <w:szCs w:val="20"/>
      <w:lang w:eastAsia="en-US"/>
    </w:rPr>
  </w:style>
  <w:style w:type="paragraph" w:customStyle="1" w:styleId="Leyendadelatabla0">
    <w:name w:val="Leyenda de la tabla"/>
    <w:basedOn w:val="Normal"/>
    <w:link w:val="Leyendadelatabla"/>
    <w:rsid w:val="002B2DE1"/>
    <w:pPr>
      <w:widowControl w:val="0"/>
    </w:pPr>
    <w:rPr>
      <w:rFonts w:eastAsia="Arial" w:cs="Arial"/>
      <w:i/>
      <w:iCs/>
      <w:sz w:val="22"/>
      <w:szCs w:val="22"/>
      <w:lang w:eastAsia="en-US"/>
    </w:rPr>
  </w:style>
  <w:style w:type="paragraph" w:customStyle="1" w:styleId="Otro0">
    <w:name w:val="Otro"/>
    <w:basedOn w:val="Normal"/>
    <w:link w:val="Otro"/>
    <w:rsid w:val="002B2DE1"/>
    <w:pPr>
      <w:widowControl w:val="0"/>
      <w:spacing w:after="420"/>
    </w:pPr>
    <w:rPr>
      <w:rFonts w:eastAsia="Arial" w:cs="Arial"/>
      <w:sz w:val="22"/>
      <w:szCs w:val="22"/>
      <w:lang w:eastAsia="en-US"/>
    </w:rPr>
  </w:style>
  <w:style w:type="character" w:customStyle="1" w:styleId="tablasCar">
    <w:name w:val="tablas Car"/>
    <w:basedOn w:val="Fuentedeprrafopredeter"/>
    <w:link w:val="tablas"/>
    <w:locked/>
    <w:rsid w:val="00165063"/>
    <w:rPr>
      <w:rFonts w:ascii="Times New Roman" w:eastAsiaTheme="minorEastAsia" w:hAnsi="Times New Roman" w:cs="Times New Roman"/>
      <w:i w:val="0"/>
      <w:iCs/>
      <w:sz w:val="24"/>
      <w:szCs w:val="24"/>
      <w:lang w:val="es-PE" w:eastAsia="es-PE"/>
    </w:rPr>
  </w:style>
  <w:style w:type="paragraph" w:customStyle="1" w:styleId="tablas">
    <w:name w:val="tablas"/>
    <w:basedOn w:val="Normal"/>
    <w:link w:val="tablasCar"/>
    <w:qFormat/>
    <w:rsid w:val="00165063"/>
    <w:pPr>
      <w:ind w:left="720"/>
    </w:pPr>
    <w:rPr>
      <w:rFonts w:eastAsiaTheme="minorEastAsia"/>
      <w:i/>
      <w:iCs/>
      <w:lang w:eastAsia="es-PE"/>
    </w:rPr>
  </w:style>
  <w:style w:type="character" w:customStyle="1" w:styleId="FuentesCar">
    <w:name w:val="Fuentes Car"/>
    <w:basedOn w:val="Fuentedeprrafopredeter"/>
    <w:link w:val="Fuentes"/>
    <w:locked/>
    <w:rsid w:val="00165063"/>
    <w:rPr>
      <w:rFonts w:ascii="Times New Roman" w:eastAsiaTheme="minorEastAsia" w:hAnsi="Times New Roman" w:cs="Times New Roman"/>
      <w:sz w:val="24"/>
      <w:szCs w:val="24"/>
      <w:lang w:val="es-PE" w:eastAsia="es-PE"/>
    </w:rPr>
  </w:style>
  <w:style w:type="paragraph" w:customStyle="1" w:styleId="Fuentes">
    <w:name w:val="Fuentes"/>
    <w:basedOn w:val="Normal"/>
    <w:link w:val="FuentesCar"/>
    <w:qFormat/>
    <w:rsid w:val="00165063"/>
    <w:pPr>
      <w:spacing w:line="480" w:lineRule="auto"/>
      <w:ind w:left="720"/>
    </w:pPr>
    <w:rPr>
      <w:rFonts w:eastAsiaTheme="minorEastAsia"/>
      <w:lang w:eastAsia="es-PE"/>
    </w:rPr>
  </w:style>
  <w:style w:type="character" w:customStyle="1" w:styleId="FigurasCar">
    <w:name w:val="Figuras Car"/>
    <w:basedOn w:val="Fuentedeprrafopredeter"/>
    <w:link w:val="Figuras"/>
    <w:locked/>
    <w:rsid w:val="00165063"/>
    <w:rPr>
      <w:rFonts w:ascii="Times New Roman" w:eastAsiaTheme="minorEastAsia" w:hAnsi="Times New Roman" w:cs="Times New Roman"/>
      <w:i w:val="0"/>
      <w:iCs/>
      <w:sz w:val="24"/>
      <w:szCs w:val="24"/>
      <w:lang w:val="es-PE" w:eastAsia="es-PE"/>
    </w:rPr>
  </w:style>
  <w:style w:type="paragraph" w:customStyle="1" w:styleId="Figuras">
    <w:name w:val="Figuras"/>
    <w:basedOn w:val="Normal"/>
    <w:link w:val="FigurasCar"/>
    <w:qFormat/>
    <w:rsid w:val="00165063"/>
    <w:pPr>
      <w:spacing w:line="480" w:lineRule="auto"/>
      <w:ind w:left="720"/>
    </w:pPr>
    <w:rPr>
      <w:rFonts w:eastAsiaTheme="minorEastAsia"/>
      <w:i/>
      <w:iCs/>
      <w:lang w:eastAsia="es-PE"/>
    </w:rPr>
  </w:style>
  <w:style w:type="table" w:customStyle="1" w:styleId="Tablanormal211">
    <w:name w:val="Tabla normal 211"/>
    <w:basedOn w:val="Tablanormal"/>
    <w:uiPriority w:val="42"/>
    <w:rsid w:val="00871C8E"/>
    <w:rPr>
      <w:rFonts w:ascii="Calibri" w:eastAsia="Calibri" w:hAnsi="Calibri" w:cs="Times New Roma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Mencinsinresolver20">
    <w:name w:val="Mención sin resolver2"/>
    <w:basedOn w:val="Fuentedeprrafopredeter"/>
    <w:uiPriority w:val="99"/>
    <w:semiHidden/>
    <w:unhideWhenUsed/>
    <w:rsid w:val="00C37F18"/>
    <w:rPr>
      <w:color w:val="605E5C"/>
      <w:shd w:val="clear" w:color="auto" w:fill="E1DFDD"/>
    </w:rPr>
  </w:style>
  <w:style w:type="paragraph" w:customStyle="1" w:styleId="papertitle">
    <w:name w:val="paper title"/>
    <w:rsid w:val="00A57D88"/>
    <w:pPr>
      <w:spacing w:after="120"/>
      <w:jc w:val="center"/>
    </w:pPr>
    <w:rPr>
      <w:rFonts w:ascii="Times New Roman" w:eastAsia="MS Mincho" w:hAnsi="Times New Roman" w:cs="Times New Roman"/>
      <w:noProof/>
      <w:sz w:val="48"/>
      <w:szCs w:val="48"/>
      <w:lang w:val="en-US"/>
    </w:rPr>
  </w:style>
  <w:style w:type="table" w:styleId="Tablanormal5">
    <w:name w:val="Plain Table 5"/>
    <w:basedOn w:val="Tablanormal"/>
    <w:uiPriority w:val="45"/>
    <w:rsid w:val="00A837B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concuadrcula21">
    <w:name w:val="Tabla con cuadrícula21"/>
    <w:basedOn w:val="Tablanormal"/>
    <w:uiPriority w:val="59"/>
    <w:rsid w:val="00A83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A83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uiPriority w:val="59"/>
    <w:rsid w:val="00A83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llpost1">
    <w:name w:val="fullpost1"/>
    <w:basedOn w:val="Fuentedeprrafopredeter"/>
    <w:rsid w:val="00A837B8"/>
    <w:rPr>
      <w:vanish w:val="0"/>
      <w:webHidden w:val="0"/>
      <w:specVanish w:val="0"/>
    </w:rPr>
  </w:style>
  <w:style w:type="character" w:styleId="Textodelmarcadordeposicin">
    <w:name w:val="Placeholder Text"/>
    <w:basedOn w:val="Fuentedeprrafopredeter"/>
    <w:uiPriority w:val="99"/>
    <w:semiHidden/>
    <w:rsid w:val="00A837B8"/>
    <w:rPr>
      <w:color w:val="808080"/>
    </w:rPr>
  </w:style>
  <w:style w:type="character" w:customStyle="1" w:styleId="Arial12">
    <w:name w:val="Arial 12"/>
    <w:basedOn w:val="Fuentedeprrafopredeter"/>
    <w:uiPriority w:val="1"/>
    <w:rsid w:val="00A837B8"/>
    <w:rPr>
      <w:rFonts w:ascii="Arial" w:hAnsi="Arial"/>
      <w:sz w:val="24"/>
    </w:rPr>
  </w:style>
  <w:style w:type="table" w:styleId="Tablanormal1">
    <w:name w:val="Plain Table 1"/>
    <w:basedOn w:val="Tablanormal"/>
    <w:uiPriority w:val="41"/>
    <w:rsid w:val="00A837B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Cuadrculadetablaclara">
    <w:name w:val="Grid Table Light"/>
    <w:basedOn w:val="Tablanormal"/>
    <w:uiPriority w:val="40"/>
    <w:rsid w:val="00A837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1">
    <w:name w:val="Sin lista1"/>
    <w:next w:val="Sinlista"/>
    <w:uiPriority w:val="99"/>
    <w:semiHidden/>
    <w:unhideWhenUsed/>
    <w:rsid w:val="00A837B8"/>
  </w:style>
  <w:style w:type="paragraph" w:customStyle="1" w:styleId="msonormal0">
    <w:name w:val="msonormal"/>
    <w:basedOn w:val="Normal"/>
    <w:rsid w:val="00A837B8"/>
    <w:pPr>
      <w:spacing w:before="100" w:beforeAutospacing="1" w:after="100" w:afterAutospacing="1"/>
    </w:pPr>
    <w:rPr>
      <w:lang w:eastAsia="es-PE"/>
    </w:rPr>
  </w:style>
  <w:style w:type="paragraph" w:customStyle="1" w:styleId="xl65">
    <w:name w:val="xl65"/>
    <w:basedOn w:val="Normal"/>
    <w:rsid w:val="00A837B8"/>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PE"/>
    </w:rPr>
  </w:style>
  <w:style w:type="paragraph" w:customStyle="1" w:styleId="xl66">
    <w:name w:val="xl66"/>
    <w:basedOn w:val="Normal"/>
    <w:rsid w:val="00A83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es-PE"/>
    </w:rPr>
  </w:style>
  <w:style w:type="paragraph" w:customStyle="1" w:styleId="xl67">
    <w:name w:val="xl67"/>
    <w:basedOn w:val="Normal"/>
    <w:rsid w:val="00A837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s-PE"/>
    </w:rPr>
  </w:style>
  <w:style w:type="paragraph" w:customStyle="1" w:styleId="xl68">
    <w:name w:val="xl68"/>
    <w:basedOn w:val="Normal"/>
    <w:rsid w:val="00A837B8"/>
    <w:pPr>
      <w:pBdr>
        <w:top w:val="single" w:sz="4" w:space="0" w:color="auto"/>
        <w:left w:val="single" w:sz="4" w:space="0" w:color="auto"/>
        <w:bottom w:val="single" w:sz="4" w:space="0" w:color="auto"/>
      </w:pBdr>
      <w:shd w:val="clear" w:color="000000" w:fill="FFFF00"/>
      <w:spacing w:before="100" w:beforeAutospacing="1" w:after="100" w:afterAutospacing="1"/>
      <w:jc w:val="center"/>
    </w:pPr>
    <w:rPr>
      <w:lang w:eastAsia="es-PE"/>
    </w:rPr>
  </w:style>
  <w:style w:type="paragraph" w:customStyle="1" w:styleId="xl69">
    <w:name w:val="xl69"/>
    <w:basedOn w:val="Normal"/>
    <w:rsid w:val="00A837B8"/>
    <w:pPr>
      <w:pBdr>
        <w:top w:val="single" w:sz="4" w:space="0" w:color="auto"/>
        <w:bottom w:val="single" w:sz="4" w:space="0" w:color="auto"/>
      </w:pBdr>
      <w:shd w:val="clear" w:color="000000" w:fill="FFFF00"/>
      <w:spacing w:before="100" w:beforeAutospacing="1" w:after="100" w:afterAutospacing="1"/>
      <w:jc w:val="center"/>
    </w:pPr>
    <w:rPr>
      <w:lang w:eastAsia="es-PE"/>
    </w:rPr>
  </w:style>
  <w:style w:type="paragraph" w:customStyle="1" w:styleId="xl70">
    <w:name w:val="xl70"/>
    <w:basedOn w:val="Normal"/>
    <w:rsid w:val="00A837B8"/>
    <w:pPr>
      <w:pBdr>
        <w:top w:val="single" w:sz="4" w:space="0" w:color="auto"/>
        <w:bottom w:val="single" w:sz="4" w:space="0" w:color="auto"/>
        <w:right w:val="single" w:sz="4" w:space="0" w:color="auto"/>
      </w:pBdr>
      <w:shd w:val="clear" w:color="000000" w:fill="FFFF00"/>
      <w:spacing w:before="100" w:beforeAutospacing="1" w:after="100" w:afterAutospacing="1"/>
      <w:jc w:val="center"/>
    </w:pPr>
    <w:rPr>
      <w:lang w:eastAsia="es-PE"/>
    </w:rPr>
  </w:style>
  <w:style w:type="paragraph" w:customStyle="1" w:styleId="xl71">
    <w:name w:val="xl71"/>
    <w:basedOn w:val="Normal"/>
    <w:rsid w:val="00A837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eastAsia="es-PE"/>
    </w:rPr>
  </w:style>
  <w:style w:type="paragraph" w:customStyle="1" w:styleId="xl72">
    <w:name w:val="xl72"/>
    <w:basedOn w:val="Normal"/>
    <w:rsid w:val="00A837B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lang w:eastAsia="es-PE"/>
    </w:rPr>
  </w:style>
  <w:style w:type="paragraph" w:customStyle="1" w:styleId="xl73">
    <w:name w:val="xl73"/>
    <w:basedOn w:val="Normal"/>
    <w:rsid w:val="00A83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es-PE"/>
    </w:rPr>
  </w:style>
  <w:style w:type="paragraph" w:customStyle="1" w:styleId="xl63">
    <w:name w:val="xl63"/>
    <w:basedOn w:val="Normal"/>
    <w:rsid w:val="00A837B8"/>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PE"/>
    </w:rPr>
  </w:style>
  <w:style w:type="paragraph" w:customStyle="1" w:styleId="xl64">
    <w:name w:val="xl64"/>
    <w:basedOn w:val="Normal"/>
    <w:rsid w:val="00A837B8"/>
    <w:pPr>
      <w:pBdr>
        <w:top w:val="single" w:sz="4" w:space="0" w:color="auto"/>
        <w:left w:val="single" w:sz="4" w:space="0" w:color="auto"/>
        <w:bottom w:val="single" w:sz="4" w:space="0" w:color="auto"/>
        <w:right w:val="single" w:sz="4" w:space="0" w:color="auto"/>
      </w:pBdr>
      <w:spacing w:before="100" w:beforeAutospacing="1" w:after="100" w:afterAutospacing="1"/>
    </w:pPr>
    <w:rPr>
      <w:lang w:eastAsia="es-PE"/>
    </w:rPr>
  </w:style>
  <w:style w:type="paragraph" w:customStyle="1" w:styleId="xl74">
    <w:name w:val="xl74"/>
    <w:basedOn w:val="Normal"/>
    <w:rsid w:val="00A837B8"/>
    <w:pPr>
      <w:pBdr>
        <w:top w:val="single" w:sz="4" w:space="0" w:color="auto"/>
        <w:left w:val="single" w:sz="4" w:space="0" w:color="auto"/>
        <w:bottom w:val="single" w:sz="4" w:space="0" w:color="auto"/>
      </w:pBdr>
      <w:shd w:val="clear" w:color="000000" w:fill="C6E0B4"/>
      <w:spacing w:before="100" w:beforeAutospacing="1" w:after="100" w:afterAutospacing="1"/>
      <w:jc w:val="center"/>
    </w:pPr>
    <w:rPr>
      <w:lang w:eastAsia="es-PE"/>
    </w:rPr>
  </w:style>
  <w:style w:type="paragraph" w:customStyle="1" w:styleId="xl75">
    <w:name w:val="xl75"/>
    <w:basedOn w:val="Normal"/>
    <w:rsid w:val="00A837B8"/>
    <w:pPr>
      <w:pBdr>
        <w:top w:val="single" w:sz="4" w:space="0" w:color="auto"/>
        <w:bottom w:val="single" w:sz="4" w:space="0" w:color="auto"/>
      </w:pBdr>
      <w:shd w:val="clear" w:color="000000" w:fill="C6E0B4"/>
      <w:spacing w:before="100" w:beforeAutospacing="1" w:after="100" w:afterAutospacing="1"/>
      <w:jc w:val="center"/>
    </w:pPr>
    <w:rPr>
      <w:lang w:eastAsia="es-PE"/>
    </w:rPr>
  </w:style>
  <w:style w:type="paragraph" w:customStyle="1" w:styleId="xl76">
    <w:name w:val="xl76"/>
    <w:basedOn w:val="Normal"/>
    <w:rsid w:val="00A837B8"/>
    <w:pPr>
      <w:pBdr>
        <w:top w:val="single" w:sz="4" w:space="0" w:color="auto"/>
        <w:bottom w:val="single" w:sz="4" w:space="0" w:color="auto"/>
        <w:right w:val="single" w:sz="4" w:space="0" w:color="auto"/>
      </w:pBdr>
      <w:shd w:val="clear" w:color="000000" w:fill="C6E0B4"/>
      <w:spacing w:before="100" w:beforeAutospacing="1" w:after="100" w:afterAutospacing="1"/>
      <w:jc w:val="center"/>
    </w:pPr>
    <w:rPr>
      <w:lang w:eastAsia="es-PE"/>
    </w:rPr>
  </w:style>
  <w:style w:type="paragraph" w:customStyle="1" w:styleId="xl77">
    <w:name w:val="xl77"/>
    <w:basedOn w:val="Normal"/>
    <w:rsid w:val="00A837B8"/>
    <w:pPr>
      <w:pBdr>
        <w:top w:val="single" w:sz="4" w:space="0" w:color="auto"/>
        <w:bottom w:val="single" w:sz="4" w:space="0" w:color="auto"/>
      </w:pBdr>
      <w:shd w:val="clear" w:color="000000" w:fill="C6E0B4"/>
      <w:spacing w:before="100" w:beforeAutospacing="1" w:after="100" w:afterAutospacing="1"/>
      <w:jc w:val="center"/>
    </w:pPr>
    <w:rPr>
      <w:lang w:eastAsia="es-PE"/>
    </w:rPr>
  </w:style>
  <w:style w:type="paragraph" w:customStyle="1" w:styleId="xl78">
    <w:name w:val="xl78"/>
    <w:basedOn w:val="Normal"/>
    <w:rsid w:val="00A837B8"/>
    <w:pPr>
      <w:pBdr>
        <w:top w:val="single" w:sz="4" w:space="0" w:color="auto"/>
        <w:bottom w:val="single" w:sz="4" w:space="0" w:color="auto"/>
        <w:right w:val="single" w:sz="4" w:space="0" w:color="auto"/>
      </w:pBdr>
      <w:shd w:val="clear" w:color="000000" w:fill="C6E0B4"/>
      <w:spacing w:before="100" w:beforeAutospacing="1" w:after="100" w:afterAutospacing="1"/>
      <w:jc w:val="center"/>
    </w:pPr>
    <w:rPr>
      <w:lang w:eastAsia="es-PE"/>
    </w:rPr>
  </w:style>
  <w:style w:type="table" w:customStyle="1" w:styleId="Tablaconcuadrcula2">
    <w:name w:val="Tabla con cuadrícula2"/>
    <w:basedOn w:val="Tablanormal"/>
    <w:next w:val="Tablaconcuadrcula"/>
    <w:rsid w:val="00A83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8C45CC"/>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8C45CC"/>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locked/>
    <w:rsid w:val="008C45CC"/>
    <w:rPr>
      <w:rFonts w:ascii="Arial" w:eastAsia="Times New Roman" w:hAnsi="Arial" w:cs="Times New Roman"/>
      <w:i w:val="0"/>
      <w:sz w:val="20"/>
      <w:szCs w:val="24"/>
      <w:lang w:eastAsia="es-ES"/>
    </w:rPr>
  </w:style>
  <w:style w:type="character" w:customStyle="1" w:styleId="bodytext">
    <w:name w:val="bodytext"/>
    <w:basedOn w:val="Fuentedeprrafopredeter"/>
    <w:rsid w:val="008C45CC"/>
  </w:style>
  <w:style w:type="character" w:customStyle="1" w:styleId="mw-editsection">
    <w:name w:val="mw-editsection"/>
    <w:basedOn w:val="Fuentedeprrafopredeter"/>
    <w:rsid w:val="008C45CC"/>
  </w:style>
  <w:style w:type="character" w:customStyle="1" w:styleId="mw-editsection-bracket">
    <w:name w:val="mw-editsection-bracket"/>
    <w:basedOn w:val="Fuentedeprrafopredeter"/>
    <w:rsid w:val="008C45CC"/>
  </w:style>
  <w:style w:type="character" w:customStyle="1" w:styleId="trcadcwrapper">
    <w:name w:val="trc_adc_wrapper"/>
    <w:basedOn w:val="Fuentedeprrafopredeter"/>
    <w:rsid w:val="008C45CC"/>
  </w:style>
  <w:style w:type="character" w:customStyle="1" w:styleId="trclogosvalign">
    <w:name w:val="trc_logos_v_align"/>
    <w:basedOn w:val="Fuentedeprrafopredeter"/>
    <w:rsid w:val="008C45CC"/>
  </w:style>
  <w:style w:type="character" w:customStyle="1" w:styleId="trcrboxheaderspan">
    <w:name w:val="trc_rbox_header_span"/>
    <w:basedOn w:val="Fuentedeprrafopredeter"/>
    <w:rsid w:val="008C45CC"/>
  </w:style>
  <w:style w:type="character" w:customStyle="1" w:styleId="tgc">
    <w:name w:val="_tgc"/>
    <w:basedOn w:val="Fuentedeprrafopredeter"/>
    <w:rsid w:val="008C45CC"/>
  </w:style>
  <w:style w:type="character" w:customStyle="1" w:styleId="d8e">
    <w:name w:val="_d8e"/>
    <w:basedOn w:val="Fuentedeprrafopredeter"/>
    <w:rsid w:val="008C45CC"/>
  </w:style>
  <w:style w:type="character" w:customStyle="1" w:styleId="personname">
    <w:name w:val="person_name"/>
    <w:basedOn w:val="Fuentedeprrafopredeter"/>
    <w:rsid w:val="008C45CC"/>
  </w:style>
  <w:style w:type="character" w:styleId="CitaHTML">
    <w:name w:val="HTML Cite"/>
    <w:basedOn w:val="Fuentedeprrafopredeter"/>
    <w:uiPriority w:val="99"/>
    <w:semiHidden/>
    <w:unhideWhenUsed/>
    <w:rsid w:val="008C45CC"/>
    <w:rPr>
      <w:i w:val="0"/>
      <w:iCs/>
    </w:rPr>
  </w:style>
  <w:style w:type="paragraph" w:customStyle="1" w:styleId="1">
    <w:name w:val="1"/>
    <w:basedOn w:val="Normal"/>
    <w:next w:val="Puesto"/>
    <w:qFormat/>
    <w:rsid w:val="008C45CC"/>
    <w:pPr>
      <w:ind w:left="720" w:hanging="720"/>
      <w:jc w:val="center"/>
    </w:pPr>
    <w:rPr>
      <w:rFonts w:ascii="Courier New" w:hAnsi="Courier New" w:cs="Courier New"/>
      <w:b/>
      <w:bCs/>
      <w:i/>
      <w:sz w:val="40"/>
    </w:rPr>
  </w:style>
  <w:style w:type="paragraph" w:customStyle="1" w:styleId="contenido">
    <w:name w:val="contenido"/>
    <w:basedOn w:val="Normal"/>
    <w:link w:val="contenidoCar"/>
    <w:qFormat/>
    <w:rsid w:val="008C45CC"/>
    <w:pPr>
      <w:widowControl w:val="0"/>
      <w:spacing w:after="240" w:line="480" w:lineRule="auto"/>
      <w:ind w:left="720" w:firstLine="284"/>
    </w:pPr>
    <w:rPr>
      <w:rFonts w:ascii="Times New Roman" w:eastAsia="Calibri" w:hAnsi="Times New Roman"/>
      <w:i/>
      <w:lang w:eastAsia="es-ES_tradnl"/>
    </w:rPr>
  </w:style>
  <w:style w:type="character" w:customStyle="1" w:styleId="contenidoCar">
    <w:name w:val="contenido Car"/>
    <w:link w:val="contenido"/>
    <w:rsid w:val="008C45CC"/>
    <w:rPr>
      <w:rFonts w:ascii="Times New Roman" w:eastAsia="Calibri" w:hAnsi="Times New Roman" w:cs="Times New Roman"/>
      <w:sz w:val="24"/>
      <w:szCs w:val="24"/>
      <w:lang w:val="es-PE" w:eastAsia="es-ES_tradnl"/>
    </w:rPr>
  </w:style>
  <w:style w:type="table" w:customStyle="1" w:styleId="Tablanormal51">
    <w:name w:val="Tabla normal 51"/>
    <w:basedOn w:val="Tablanormal"/>
    <w:next w:val="Tablanormal"/>
    <w:uiPriority w:val="45"/>
    <w:rsid w:val="008C45CC"/>
    <w:pPr>
      <w:ind w:left="720" w:hanging="720"/>
    </w:pPr>
    <w:tblPr>
      <w:tblStyleRowBandSize w:val="1"/>
      <w:tblStyleColBandSize w:val="1"/>
    </w:tblPr>
    <w:tblStylePr w:type="firstRow">
      <w:rPr>
        <w:rFonts w:ascii="Arial Black" w:eastAsia="Times New Roman" w:hAnsi="Arial Black" w:cs="Times New Roman"/>
        <w:i/>
        <w:iCs/>
        <w:sz w:val="26"/>
      </w:rPr>
      <w:tblPr/>
      <w:tcPr>
        <w:tcBorders>
          <w:bottom w:val="single" w:sz="4" w:space="0" w:color="7F7F7F"/>
        </w:tcBorders>
        <w:shd w:val="clear" w:color="auto" w:fill="FFFFFF"/>
      </w:tcPr>
    </w:tblStylePr>
    <w:tblStylePr w:type="lastRow">
      <w:rPr>
        <w:rFonts w:ascii="Arial Black" w:eastAsia="Times New Roman" w:hAnsi="Arial Black" w:cs="Times New Roman"/>
        <w:i/>
        <w:iCs/>
        <w:sz w:val="26"/>
      </w:rPr>
      <w:tblPr/>
      <w:tcPr>
        <w:tcBorders>
          <w:top w:val="single" w:sz="4" w:space="0" w:color="7F7F7F"/>
        </w:tcBorders>
        <w:shd w:val="clear" w:color="auto" w:fill="FFFFFF"/>
      </w:tcPr>
    </w:tblStylePr>
    <w:tblStylePr w:type="firstCol">
      <w:pPr>
        <w:jc w:val="right"/>
      </w:pPr>
      <w:rPr>
        <w:rFonts w:ascii="Arial Black" w:eastAsia="Times New Roman" w:hAnsi="Arial Black" w:cs="Times New Roman"/>
        <w:i/>
        <w:iCs/>
        <w:sz w:val="26"/>
      </w:rPr>
      <w:tblPr/>
      <w:tcPr>
        <w:tcBorders>
          <w:right w:val="single" w:sz="4" w:space="0" w:color="7F7F7F"/>
        </w:tcBorders>
        <w:shd w:val="clear" w:color="auto" w:fill="FFFFFF"/>
      </w:tcPr>
    </w:tblStylePr>
    <w:tblStylePr w:type="lastCol">
      <w:rPr>
        <w:rFonts w:ascii="Arial Black" w:eastAsia="Times New Roman" w:hAnsi="Arial Black"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57">
    <w:name w:val="p57"/>
    <w:basedOn w:val="Normal"/>
    <w:rsid w:val="008C45CC"/>
    <w:pPr>
      <w:spacing w:before="100" w:beforeAutospacing="1" w:after="100" w:afterAutospacing="1" w:line="276" w:lineRule="auto"/>
      <w:ind w:left="720" w:hanging="720"/>
    </w:pPr>
    <w:rPr>
      <w:rFonts w:ascii="Times New Roman" w:hAnsi="Times New Roman"/>
      <w:i/>
      <w:lang w:eastAsia="es-PE"/>
    </w:rPr>
  </w:style>
  <w:style w:type="paragraph" w:customStyle="1" w:styleId="p72">
    <w:name w:val="p72"/>
    <w:basedOn w:val="Normal"/>
    <w:rsid w:val="008C45CC"/>
    <w:pPr>
      <w:spacing w:before="100" w:beforeAutospacing="1" w:after="100" w:afterAutospacing="1" w:line="276" w:lineRule="auto"/>
      <w:ind w:left="720" w:hanging="720"/>
    </w:pPr>
    <w:rPr>
      <w:rFonts w:ascii="Times New Roman" w:hAnsi="Times New Roman"/>
      <w:i/>
      <w:lang w:eastAsia="es-PE"/>
    </w:rPr>
  </w:style>
  <w:style w:type="character" w:customStyle="1" w:styleId="t85">
    <w:name w:val="t85"/>
    <w:basedOn w:val="Fuentedeprrafopredeter"/>
    <w:rsid w:val="008C45CC"/>
  </w:style>
  <w:style w:type="paragraph" w:customStyle="1" w:styleId="p56">
    <w:name w:val="p56"/>
    <w:basedOn w:val="Normal"/>
    <w:rsid w:val="008C45CC"/>
    <w:pPr>
      <w:spacing w:before="100" w:beforeAutospacing="1" w:after="100" w:afterAutospacing="1" w:line="276" w:lineRule="auto"/>
      <w:ind w:left="720" w:hanging="720"/>
    </w:pPr>
    <w:rPr>
      <w:rFonts w:ascii="Times New Roman" w:hAnsi="Times New Roman"/>
      <w:i/>
      <w:lang w:eastAsia="es-PE"/>
    </w:rPr>
  </w:style>
  <w:style w:type="paragraph" w:customStyle="1" w:styleId="p41">
    <w:name w:val="p41"/>
    <w:basedOn w:val="Normal"/>
    <w:rsid w:val="008C45CC"/>
    <w:pPr>
      <w:spacing w:before="100" w:beforeAutospacing="1" w:after="100" w:afterAutospacing="1" w:line="276" w:lineRule="auto"/>
      <w:ind w:left="720" w:hanging="720"/>
    </w:pPr>
    <w:rPr>
      <w:rFonts w:ascii="Times New Roman" w:hAnsi="Times New Roman"/>
      <w:i/>
      <w:lang w:eastAsia="es-PE"/>
    </w:rPr>
  </w:style>
  <w:style w:type="character" w:customStyle="1" w:styleId="citation">
    <w:name w:val="citation"/>
    <w:basedOn w:val="Fuentedeprrafopredeter"/>
    <w:rsid w:val="008C45CC"/>
  </w:style>
  <w:style w:type="paragraph" w:customStyle="1" w:styleId="style3">
    <w:name w:val="style3"/>
    <w:basedOn w:val="Normal"/>
    <w:uiPriority w:val="99"/>
    <w:rsid w:val="008C45CC"/>
    <w:pPr>
      <w:spacing w:before="100" w:beforeAutospacing="1" w:after="100" w:afterAutospacing="1" w:line="276" w:lineRule="auto"/>
      <w:ind w:left="720" w:hanging="720"/>
    </w:pPr>
    <w:rPr>
      <w:rFonts w:ascii="Verdana" w:eastAsia="MS Mincho" w:hAnsi="Verdana"/>
      <w:i/>
      <w:sz w:val="18"/>
      <w:szCs w:val="18"/>
    </w:rPr>
  </w:style>
  <w:style w:type="paragraph" w:styleId="Lista2">
    <w:name w:val="List 2"/>
    <w:basedOn w:val="Normal"/>
    <w:uiPriority w:val="99"/>
    <w:unhideWhenUsed/>
    <w:rsid w:val="008C45CC"/>
    <w:pPr>
      <w:spacing w:line="276" w:lineRule="auto"/>
      <w:ind w:left="566" w:hanging="283"/>
      <w:contextualSpacing/>
    </w:pPr>
    <w:rPr>
      <w:rFonts w:ascii="Courier New" w:hAnsi="Courier New"/>
      <w:i/>
      <w:sz w:val="26"/>
    </w:rPr>
  </w:style>
  <w:style w:type="character" w:customStyle="1" w:styleId="can">
    <w:name w:val="can"/>
    <w:basedOn w:val="Fuentedeprrafopredeter"/>
    <w:rsid w:val="008C45CC"/>
  </w:style>
  <w:style w:type="paragraph" w:customStyle="1" w:styleId="author">
    <w:name w:val="author"/>
    <w:basedOn w:val="Normal"/>
    <w:rsid w:val="008C45CC"/>
    <w:pPr>
      <w:spacing w:before="100" w:beforeAutospacing="1" w:after="100" w:afterAutospacing="1" w:line="276" w:lineRule="auto"/>
      <w:ind w:left="720" w:hanging="720"/>
    </w:pPr>
    <w:rPr>
      <w:rFonts w:ascii="Times New Roman" w:hAnsi="Times New Roman"/>
      <w:i/>
      <w:lang w:eastAsia="es-PE"/>
    </w:rPr>
  </w:style>
  <w:style w:type="paragraph" w:customStyle="1" w:styleId="aff">
    <w:name w:val="aff"/>
    <w:basedOn w:val="Normal"/>
    <w:rsid w:val="008C45CC"/>
    <w:pPr>
      <w:spacing w:before="100" w:beforeAutospacing="1" w:after="100" w:afterAutospacing="1" w:line="276" w:lineRule="auto"/>
      <w:ind w:left="720" w:hanging="720"/>
    </w:pPr>
    <w:rPr>
      <w:rFonts w:ascii="Times New Roman" w:hAnsi="Times New Roman"/>
      <w:i/>
      <w:lang w:eastAsia="es-PE"/>
    </w:rPr>
  </w:style>
  <w:style w:type="paragraph" w:styleId="Subttulo">
    <w:name w:val="Subtitle"/>
    <w:basedOn w:val="Normal"/>
    <w:next w:val="Normal"/>
    <w:link w:val="SubttuloCar"/>
    <w:uiPriority w:val="11"/>
    <w:qFormat/>
    <w:pPr>
      <w:spacing w:after="60" w:line="276" w:lineRule="auto"/>
      <w:ind w:left="720" w:hanging="720"/>
      <w:jc w:val="center"/>
    </w:pPr>
    <w:rPr>
      <w:rFonts w:ascii="Cambria" w:eastAsia="Cambria" w:hAnsi="Cambria" w:cs="Cambria"/>
      <w:i/>
    </w:rPr>
  </w:style>
  <w:style w:type="character" w:customStyle="1" w:styleId="SubttuloCar">
    <w:name w:val="Subtítulo Car"/>
    <w:basedOn w:val="Fuentedeprrafopredeter"/>
    <w:link w:val="Subttulo"/>
    <w:uiPriority w:val="11"/>
    <w:rsid w:val="008C45CC"/>
    <w:rPr>
      <w:rFonts w:ascii="Cambria" w:eastAsia="Times New Roman" w:hAnsi="Cambria" w:cs="Times New Roman"/>
      <w:sz w:val="24"/>
      <w:szCs w:val="24"/>
      <w:lang w:eastAsia="es-ES"/>
    </w:rPr>
  </w:style>
  <w:style w:type="character" w:customStyle="1" w:styleId="MapadeldocumentoCar">
    <w:name w:val="Mapa del documento Car"/>
    <w:basedOn w:val="Fuentedeprrafopredeter"/>
    <w:link w:val="Mapadeldocumento"/>
    <w:uiPriority w:val="99"/>
    <w:semiHidden/>
    <w:rsid w:val="008C45CC"/>
    <w:rPr>
      <w:rFonts w:ascii="Tahoma" w:eastAsia="Times New Roman" w:hAnsi="Tahoma" w:cs="Tahoma"/>
      <w:sz w:val="20"/>
      <w:szCs w:val="20"/>
      <w:shd w:val="clear" w:color="auto" w:fill="000080"/>
      <w:lang w:eastAsia="es-ES"/>
    </w:rPr>
  </w:style>
  <w:style w:type="paragraph" w:styleId="Mapadeldocumento">
    <w:name w:val="Document Map"/>
    <w:basedOn w:val="Normal"/>
    <w:link w:val="MapadeldocumentoCar"/>
    <w:uiPriority w:val="99"/>
    <w:semiHidden/>
    <w:unhideWhenUsed/>
    <w:rsid w:val="008C45CC"/>
    <w:pPr>
      <w:shd w:val="clear" w:color="auto" w:fill="000080"/>
      <w:spacing w:line="276" w:lineRule="auto"/>
      <w:ind w:left="720" w:hanging="720"/>
    </w:pPr>
    <w:rPr>
      <w:rFonts w:ascii="Tahoma" w:hAnsi="Tahoma" w:cs="Tahoma"/>
      <w:i/>
      <w:szCs w:val="20"/>
    </w:rPr>
  </w:style>
  <w:style w:type="character" w:customStyle="1" w:styleId="MapadeldocumentoCar1">
    <w:name w:val="Mapa del documento Car1"/>
    <w:basedOn w:val="Fuentedeprrafopredeter"/>
    <w:uiPriority w:val="99"/>
    <w:semiHidden/>
    <w:rsid w:val="008C45CC"/>
    <w:rPr>
      <w:rFonts w:ascii="Segoe UI" w:eastAsia="Times New Roman" w:hAnsi="Segoe UI" w:cs="Segoe UI"/>
      <w:i w:val="0"/>
      <w:sz w:val="16"/>
      <w:szCs w:val="16"/>
      <w:lang w:eastAsia="es-ES"/>
    </w:rPr>
  </w:style>
  <w:style w:type="paragraph" w:customStyle="1" w:styleId="BodyText22">
    <w:name w:val="Body Text 22"/>
    <w:basedOn w:val="Normal"/>
    <w:next w:val="Normal"/>
    <w:uiPriority w:val="99"/>
    <w:rsid w:val="008C45CC"/>
    <w:pPr>
      <w:autoSpaceDE w:val="0"/>
      <w:autoSpaceDN w:val="0"/>
      <w:adjustRightInd w:val="0"/>
      <w:spacing w:line="276" w:lineRule="auto"/>
      <w:ind w:left="720" w:hanging="720"/>
    </w:pPr>
    <w:rPr>
      <w:rFonts w:ascii="KJLFMN+Arial" w:hAnsi="KJLFMN+Arial"/>
      <w:i/>
      <w:lang w:eastAsia="es-PE"/>
    </w:rPr>
  </w:style>
  <w:style w:type="paragraph" w:customStyle="1" w:styleId="Texto">
    <w:name w:val="Texto"/>
    <w:basedOn w:val="Normal"/>
    <w:uiPriority w:val="99"/>
    <w:rsid w:val="008C45CC"/>
    <w:pPr>
      <w:spacing w:after="240"/>
      <w:ind w:left="720" w:hanging="720"/>
    </w:pPr>
    <w:rPr>
      <w:rFonts w:ascii="Times New Roman" w:hAnsi="Times New Roman"/>
      <w:i/>
      <w:szCs w:val="20"/>
      <w:lang w:val="fr-FR"/>
    </w:rPr>
  </w:style>
  <w:style w:type="paragraph" w:customStyle="1" w:styleId="1TitulTesis">
    <w:name w:val="1|TitulTesis"/>
    <w:basedOn w:val="Normal"/>
    <w:next w:val="Normal"/>
    <w:uiPriority w:val="99"/>
    <w:rsid w:val="008C45CC"/>
    <w:pPr>
      <w:spacing w:after="360"/>
      <w:ind w:left="720" w:hanging="720"/>
      <w:jc w:val="center"/>
    </w:pPr>
    <w:rPr>
      <w:rFonts w:ascii="Times New Roman" w:hAnsi="Times New Roman"/>
      <w:b/>
      <w:i/>
      <w:sz w:val="36"/>
      <w:szCs w:val="20"/>
      <w:lang w:val="fr-FR"/>
    </w:rPr>
  </w:style>
  <w:style w:type="paragraph" w:customStyle="1" w:styleId="1Autor">
    <w:name w:val="1|Autor"/>
    <w:basedOn w:val="Normal"/>
    <w:uiPriority w:val="99"/>
    <w:rsid w:val="008C45CC"/>
    <w:pPr>
      <w:ind w:left="720" w:hanging="720"/>
      <w:jc w:val="center"/>
    </w:pPr>
    <w:rPr>
      <w:rFonts w:ascii="Times New Roman" w:hAnsi="Times New Roman"/>
      <w:i/>
      <w:sz w:val="28"/>
      <w:szCs w:val="20"/>
      <w:lang w:val="fr-FR"/>
    </w:rPr>
  </w:style>
  <w:style w:type="character" w:customStyle="1" w:styleId="ilad">
    <w:name w:val="il_ad"/>
    <w:rsid w:val="008C45CC"/>
  </w:style>
  <w:style w:type="character" w:customStyle="1" w:styleId="tr">
    <w:name w:val="tr"/>
    <w:rsid w:val="008C45CC"/>
  </w:style>
  <w:style w:type="character" w:customStyle="1" w:styleId="notranslate">
    <w:name w:val="notranslate"/>
    <w:basedOn w:val="Fuentedeprrafopredeter"/>
    <w:rsid w:val="008C45CC"/>
  </w:style>
  <w:style w:type="character" w:customStyle="1" w:styleId="etpbfullwidthheadersubhead">
    <w:name w:val="et_pb_fullwidth_header_subhead"/>
    <w:basedOn w:val="Fuentedeprrafopredeter"/>
    <w:rsid w:val="008C45CC"/>
  </w:style>
  <w:style w:type="paragraph" w:styleId="TtulodeTDC">
    <w:name w:val="TOC Heading"/>
    <w:basedOn w:val="Ttulo1"/>
    <w:next w:val="Normal"/>
    <w:uiPriority w:val="39"/>
    <w:unhideWhenUsed/>
    <w:qFormat/>
    <w:rsid w:val="008C45CC"/>
    <w:pPr>
      <w:keepLines/>
      <w:spacing w:before="480" w:line="276" w:lineRule="auto"/>
      <w:ind w:left="720" w:hanging="720"/>
      <w:outlineLvl w:val="9"/>
    </w:pPr>
    <w:rPr>
      <w:rFonts w:asciiTheme="majorHAnsi" w:eastAsiaTheme="majorEastAsia" w:hAnsiTheme="majorHAnsi" w:cstheme="majorBidi"/>
      <w:b w:val="0"/>
      <w:bCs w:val="0"/>
      <w:i/>
      <w:color w:val="2E74B5" w:themeColor="accent1" w:themeShade="BF"/>
      <w:sz w:val="28"/>
      <w:szCs w:val="28"/>
      <w:lang w:eastAsia="es-ES_tradnl"/>
    </w:rPr>
  </w:style>
  <w:style w:type="character" w:customStyle="1" w:styleId="separator">
    <w:name w:val="separator"/>
    <w:basedOn w:val="Fuentedeprrafopredeter"/>
    <w:rsid w:val="008C45CC"/>
  </w:style>
  <w:style w:type="paragraph" w:customStyle="1" w:styleId="current">
    <w:name w:val="current"/>
    <w:basedOn w:val="Normal"/>
    <w:rsid w:val="008C45CC"/>
    <w:pPr>
      <w:spacing w:before="100" w:beforeAutospacing="1" w:after="100" w:afterAutospacing="1" w:line="276" w:lineRule="auto"/>
      <w:ind w:left="720" w:hanging="720"/>
    </w:pPr>
    <w:rPr>
      <w:rFonts w:ascii="Times New Roman" w:hAnsi="Times New Roman"/>
      <w:i/>
      <w:lang w:eastAsia="es-ES_tradnl"/>
    </w:rPr>
  </w:style>
  <w:style w:type="character" w:customStyle="1" w:styleId="name">
    <w:name w:val="name"/>
    <w:basedOn w:val="Fuentedeprrafopredeter"/>
    <w:rsid w:val="008C45CC"/>
  </w:style>
  <w:style w:type="character" w:customStyle="1" w:styleId="affiliation">
    <w:name w:val="affiliation"/>
    <w:basedOn w:val="Fuentedeprrafopredeter"/>
    <w:rsid w:val="008C45CC"/>
  </w:style>
  <w:style w:type="paragraph" w:customStyle="1" w:styleId="categoria">
    <w:name w:val="categoria"/>
    <w:basedOn w:val="Normal"/>
    <w:rsid w:val="008C45CC"/>
    <w:pPr>
      <w:spacing w:before="100" w:beforeAutospacing="1" w:after="100" w:afterAutospacing="1" w:line="276" w:lineRule="auto"/>
      <w:ind w:left="720" w:hanging="720"/>
    </w:pPr>
    <w:rPr>
      <w:rFonts w:ascii="Times New Roman" w:hAnsi="Times New Roman"/>
      <w:i/>
      <w:lang w:eastAsia="es-ES_tradnl"/>
    </w:rPr>
  </w:style>
  <w:style w:type="paragraph" w:customStyle="1" w:styleId="Ttulo10">
    <w:name w:val="Título1"/>
    <w:basedOn w:val="Normal"/>
    <w:rsid w:val="008C45CC"/>
    <w:pPr>
      <w:spacing w:before="100" w:beforeAutospacing="1" w:after="100" w:afterAutospacing="1" w:line="276" w:lineRule="auto"/>
      <w:ind w:left="720" w:hanging="720"/>
    </w:pPr>
    <w:rPr>
      <w:rFonts w:ascii="Times New Roman" w:hAnsi="Times New Roman"/>
      <w:i/>
      <w:lang w:eastAsia="es-ES_tradnl"/>
    </w:rPr>
  </w:style>
  <w:style w:type="paragraph" w:customStyle="1" w:styleId="trans-title">
    <w:name w:val="trans-title"/>
    <w:basedOn w:val="Normal"/>
    <w:rsid w:val="008C45CC"/>
    <w:pPr>
      <w:spacing w:before="100" w:beforeAutospacing="1" w:after="100" w:afterAutospacing="1" w:line="276" w:lineRule="auto"/>
      <w:ind w:left="720" w:hanging="720"/>
    </w:pPr>
    <w:rPr>
      <w:rFonts w:ascii="Times New Roman" w:hAnsi="Times New Roman"/>
      <w:i/>
      <w:lang w:eastAsia="es-ES_tradnl"/>
    </w:rPr>
  </w:style>
  <w:style w:type="character" w:customStyle="1" w:styleId="hgkelc">
    <w:name w:val="hgkelc"/>
    <w:basedOn w:val="Fuentedeprrafopredeter"/>
    <w:rsid w:val="008C45CC"/>
  </w:style>
  <w:style w:type="character" w:customStyle="1" w:styleId="mw-lingo-term">
    <w:name w:val="mw-lingo-term"/>
    <w:basedOn w:val="Fuentedeprrafopredeter"/>
    <w:rsid w:val="008C45CC"/>
  </w:style>
  <w:style w:type="character" w:customStyle="1" w:styleId="acopre">
    <w:name w:val="acopre"/>
    <w:basedOn w:val="Fuentedeprrafopredeter"/>
    <w:rsid w:val="008C45CC"/>
  </w:style>
  <w:style w:type="character" w:customStyle="1" w:styleId="kx21rb">
    <w:name w:val="kx21rb"/>
    <w:basedOn w:val="Fuentedeprrafopredeter"/>
    <w:rsid w:val="008C45CC"/>
  </w:style>
  <w:style w:type="character" w:customStyle="1" w:styleId="span-citation">
    <w:name w:val="span-citation"/>
    <w:basedOn w:val="Fuentedeprrafopredeter"/>
    <w:rsid w:val="008C45CC"/>
  </w:style>
  <w:style w:type="paragraph" w:customStyle="1" w:styleId="wp-caption-text">
    <w:name w:val="wp-caption-text"/>
    <w:basedOn w:val="Normal"/>
    <w:rsid w:val="008C45CC"/>
    <w:pPr>
      <w:spacing w:before="100" w:beforeAutospacing="1" w:after="100" w:afterAutospacing="1"/>
    </w:pPr>
    <w:rPr>
      <w:rFonts w:ascii="Times New Roman" w:hAnsi="Times New Roman"/>
      <w:i/>
      <w:lang w:val="en-US" w:eastAsia="en-US"/>
    </w:rPr>
  </w:style>
  <w:style w:type="character" w:customStyle="1" w:styleId="reference-text">
    <w:name w:val="reference-text"/>
    <w:basedOn w:val="Fuentedeprrafopredeter"/>
    <w:rsid w:val="008C45CC"/>
  </w:style>
  <w:style w:type="character" w:customStyle="1" w:styleId="mw-cite-backlink">
    <w:name w:val="mw-cite-backlink"/>
    <w:basedOn w:val="Fuentedeprrafopredeter"/>
    <w:rsid w:val="008C45CC"/>
  </w:style>
  <w:style w:type="character" w:customStyle="1" w:styleId="cite-accessibility-label">
    <w:name w:val="cite-accessibility-label"/>
    <w:basedOn w:val="Fuentedeprrafopredeter"/>
    <w:rsid w:val="008C45CC"/>
  </w:style>
  <w:style w:type="paragraph" w:customStyle="1" w:styleId="text-justify">
    <w:name w:val="text-justify"/>
    <w:basedOn w:val="Normal"/>
    <w:rsid w:val="008C45CC"/>
    <w:pPr>
      <w:spacing w:before="100" w:beforeAutospacing="1" w:after="100" w:afterAutospacing="1"/>
    </w:pPr>
    <w:rPr>
      <w:rFonts w:ascii="Times New Roman" w:hAnsi="Times New Roman"/>
      <w:i/>
      <w:lang w:val="en-US" w:eastAsia="en-US"/>
    </w:rPr>
  </w:style>
  <w:style w:type="character" w:customStyle="1" w:styleId="Mencinsinresolver3">
    <w:name w:val="Mención sin resolver3"/>
    <w:basedOn w:val="Fuentedeprrafopredeter"/>
    <w:uiPriority w:val="99"/>
    <w:semiHidden/>
    <w:unhideWhenUsed/>
    <w:rsid w:val="008C45CC"/>
    <w:rPr>
      <w:color w:val="605E5C"/>
      <w:shd w:val="clear" w:color="auto" w:fill="E1DFDD"/>
    </w:rPr>
  </w:style>
  <w:style w:type="character" w:customStyle="1" w:styleId="Mencinsinresolver4">
    <w:name w:val="Mención sin resolver4"/>
    <w:basedOn w:val="Fuentedeprrafopredeter"/>
    <w:uiPriority w:val="99"/>
    <w:semiHidden/>
    <w:unhideWhenUsed/>
    <w:rsid w:val="008C45CC"/>
    <w:rPr>
      <w:color w:val="605E5C"/>
      <w:shd w:val="clear" w:color="auto" w:fill="E1DFDD"/>
    </w:rPr>
  </w:style>
  <w:style w:type="character" w:customStyle="1" w:styleId="apellidos">
    <w:name w:val="apellidos"/>
    <w:basedOn w:val="Fuentedeprrafopredeter"/>
    <w:rsid w:val="008C45CC"/>
  </w:style>
  <w:style w:type="character" w:customStyle="1" w:styleId="muxgbd">
    <w:name w:val="muxgbd"/>
    <w:basedOn w:val="Fuentedeprrafopredeter"/>
    <w:rsid w:val="008C45CC"/>
  </w:style>
  <w:style w:type="character" w:customStyle="1" w:styleId="markedcontent">
    <w:name w:val="markedcontent"/>
    <w:basedOn w:val="Fuentedeprrafopredeter"/>
    <w:rsid w:val="008C45CC"/>
  </w:style>
  <w:style w:type="character" w:customStyle="1" w:styleId="Mencinsinresolver5">
    <w:name w:val="Mención sin resolver5"/>
    <w:basedOn w:val="Fuentedeprrafopredeter"/>
    <w:uiPriority w:val="99"/>
    <w:semiHidden/>
    <w:unhideWhenUsed/>
    <w:rsid w:val="008C45CC"/>
    <w:rPr>
      <w:color w:val="605E5C"/>
      <w:shd w:val="clear" w:color="auto" w:fill="E1DFDD"/>
    </w:rPr>
  </w:style>
  <w:style w:type="character" w:customStyle="1" w:styleId="pageheadertext">
    <w:name w:val="pageheadertext"/>
    <w:basedOn w:val="Fuentedeprrafopredeter"/>
    <w:rsid w:val="008C45CC"/>
  </w:style>
  <w:style w:type="table" w:customStyle="1" w:styleId="a1">
    <w:basedOn w:val="TableNormal4"/>
    <w:pPr>
      <w:ind w:left="720" w:hanging="720"/>
      <w:jc w:val="center"/>
    </w:pPr>
    <w:rPr>
      <w:rFonts w:ascii="Calibri" w:eastAsia="Calibri" w:hAnsi="Calibri" w:cs="Calibri"/>
      <w:color w:val="000000"/>
    </w:rPr>
    <w:tblPr>
      <w:tblStyleRowBandSize w:val="1"/>
      <w:tblStyleColBandSize w:val="1"/>
      <w:tblCellMar>
        <w:left w:w="115" w:type="dxa"/>
        <w:right w:w="115" w:type="dxa"/>
      </w:tblCellMar>
    </w:tblPr>
    <w:tcPr>
      <w:shd w:val="clear" w:color="auto" w:fill="DBE5F1"/>
      <w:vAlign w:val="center"/>
    </w:tcPr>
  </w:style>
  <w:style w:type="table" w:customStyle="1" w:styleId="a3">
    <w:basedOn w:val="TableNormal3"/>
    <w:pPr>
      <w:widowControl w:val="0"/>
      <w:ind w:left="720" w:hanging="720"/>
      <w:jc w:val="center"/>
    </w:pPr>
    <w:rPr>
      <w:rFonts w:ascii="Calibri" w:eastAsia="Calibri" w:hAnsi="Calibri" w:cs="Calibri"/>
      <w:color w:val="000000"/>
    </w:rPr>
    <w:tblPr>
      <w:tblStyleRowBandSize w:val="1"/>
      <w:tblStyleColBandSize w:val="1"/>
      <w:tblCellMar>
        <w:left w:w="115" w:type="dxa"/>
        <w:right w:w="115" w:type="dxa"/>
      </w:tblCellMar>
    </w:tblPr>
    <w:tcPr>
      <w:shd w:val="clear" w:color="auto" w:fill="DBE5F1"/>
      <w:vAlign w:val="center"/>
    </w:tcPr>
  </w:style>
  <w:style w:type="table" w:customStyle="1" w:styleId="a4">
    <w:basedOn w:val="TableNormal3"/>
    <w:tblPr>
      <w:tblStyleRowBandSize w:val="1"/>
      <w:tblStyleColBandSize w:val="1"/>
    </w:tblPr>
  </w:style>
  <w:style w:type="table" w:customStyle="1" w:styleId="a5">
    <w:basedOn w:val="TableNormal3"/>
    <w:tblPr>
      <w:tblStyleRowBandSize w:val="1"/>
      <w:tblStyleColBandSize w:val="1"/>
    </w:tblPr>
  </w:style>
  <w:style w:type="table" w:customStyle="1" w:styleId="a6">
    <w:basedOn w:val="TableNormal3"/>
    <w:tblPr>
      <w:tblStyleRowBandSize w:val="1"/>
      <w:tblStyleColBandSize w:val="1"/>
    </w:tblPr>
  </w:style>
  <w:style w:type="paragraph" w:customStyle="1" w:styleId="NORMAAPA7MAEDICION">
    <w:name w:val="NORMA APA 7MA EDICION"/>
    <w:basedOn w:val="Normal"/>
    <w:next w:val="Normal"/>
    <w:rsid w:val="00045364"/>
    <w:pPr>
      <w:spacing w:after="160" w:line="480" w:lineRule="auto"/>
      <w:ind w:firstLine="709"/>
    </w:pPr>
    <w:rPr>
      <w:rFonts w:ascii="Times New Roman" w:eastAsiaTheme="minorEastAsia" w:hAnsi="Times New Roman" w:cstheme="minorBidi"/>
      <w:i/>
      <w:kern w:val="2"/>
      <w:szCs w:val="22"/>
      <w:lang w:eastAsia="zh-CN"/>
    </w:rPr>
  </w:style>
  <w:style w:type="paragraph" w:customStyle="1" w:styleId="ahorro">
    <w:name w:val="ahorro"/>
    <w:basedOn w:val="Normal"/>
    <w:link w:val="ahorroCar"/>
    <w:qFormat/>
    <w:rsid w:val="00356BA2"/>
    <w:rPr>
      <w:b/>
    </w:rPr>
  </w:style>
  <w:style w:type="character" w:customStyle="1" w:styleId="inline">
    <w:name w:val="inline"/>
    <w:basedOn w:val="Fuentedeprrafopredeter"/>
    <w:rsid w:val="00041921"/>
  </w:style>
  <w:style w:type="character" w:customStyle="1" w:styleId="ahorroCar">
    <w:name w:val="ahorro Car"/>
    <w:basedOn w:val="Fuentedeprrafopredeter"/>
    <w:link w:val="ahorro"/>
    <w:rsid w:val="00356BA2"/>
    <w:rPr>
      <w:rFonts w:eastAsia="Times New Roman" w:cs="Times New Roman"/>
      <w:b/>
      <w:lang w:eastAsia="es-ES"/>
    </w:rPr>
  </w:style>
  <w:style w:type="table" w:customStyle="1" w:styleId="a7">
    <w:basedOn w:val="TableNormal2"/>
    <w:pPr>
      <w:widowControl w:val="0"/>
      <w:ind w:left="720" w:hanging="720"/>
      <w:jc w:val="center"/>
    </w:pPr>
    <w:rPr>
      <w:rFonts w:ascii="Calibri" w:eastAsia="Calibri" w:hAnsi="Calibri" w:cs="Calibri"/>
      <w:color w:val="000000"/>
    </w:rPr>
    <w:tblPr>
      <w:tblStyleRowBandSize w:val="1"/>
      <w:tblStyleColBandSize w:val="1"/>
      <w:tblCellMar>
        <w:left w:w="115" w:type="dxa"/>
        <w:right w:w="115" w:type="dxa"/>
      </w:tblCellMar>
    </w:tblPr>
    <w:tcPr>
      <w:shd w:val="clear" w:color="auto" w:fill="DBE5F1"/>
      <w:vAlign w:val="center"/>
    </w:tcPr>
  </w:style>
  <w:style w:type="table" w:customStyle="1" w:styleId="a8">
    <w:basedOn w:val="TableNormal2"/>
    <w:tblPr>
      <w:tblStyleRowBandSize w:val="1"/>
      <w:tblStyleColBandSize w:val="1"/>
      <w:tblCellMar>
        <w:left w:w="70" w:type="dxa"/>
        <w:right w:w="70" w:type="dxa"/>
      </w:tblCellMar>
    </w:tblPr>
  </w:style>
  <w:style w:type="table" w:customStyle="1" w:styleId="a9">
    <w:basedOn w:val="TableNormal2"/>
    <w:tblPr>
      <w:tblStyleRowBandSize w:val="1"/>
      <w:tblStyleColBandSize w:val="1"/>
      <w:tblCellMar>
        <w:left w:w="70" w:type="dxa"/>
        <w:right w:w="70" w:type="dxa"/>
      </w:tblCellMar>
    </w:tblPr>
  </w:style>
  <w:style w:type="table" w:customStyle="1" w:styleId="aa">
    <w:basedOn w:val="TableNormal2"/>
    <w:tblPr>
      <w:tblStyleRowBandSize w:val="1"/>
      <w:tblStyleColBandSize w:val="1"/>
      <w:tblCellMar>
        <w:left w:w="70" w:type="dxa"/>
        <w:right w:w="70" w:type="dxa"/>
      </w:tblCellMar>
    </w:tblPr>
  </w:style>
  <w:style w:type="table" w:customStyle="1" w:styleId="ab">
    <w:basedOn w:val="TableNormal2"/>
    <w:tblPr>
      <w:tblStyleRowBandSize w:val="1"/>
      <w:tblStyleColBandSize w:val="1"/>
      <w:tblCellMar>
        <w:left w:w="70" w:type="dxa"/>
        <w:right w:w="70" w:type="dxa"/>
      </w:tblCellMar>
    </w:tblPr>
  </w:style>
  <w:style w:type="table" w:customStyle="1" w:styleId="ac">
    <w:basedOn w:val="TableNormal1"/>
    <w:pPr>
      <w:widowControl w:val="0"/>
      <w:ind w:left="720" w:hanging="720"/>
      <w:jc w:val="center"/>
    </w:pPr>
    <w:rPr>
      <w:rFonts w:ascii="Calibri" w:eastAsia="Calibri" w:hAnsi="Calibri" w:cs="Calibri"/>
      <w:color w:val="000000"/>
    </w:rPr>
    <w:tblPr>
      <w:tblStyleRowBandSize w:val="1"/>
      <w:tblStyleColBandSize w:val="1"/>
      <w:tblCellMar>
        <w:left w:w="70" w:type="dxa"/>
        <w:right w:w="70" w:type="dxa"/>
      </w:tblCellMar>
    </w:tblPr>
    <w:tcPr>
      <w:shd w:val="clear" w:color="auto" w:fill="DBE5F1"/>
      <w:vAlign w:val="center"/>
    </w:tcPr>
  </w:style>
  <w:style w:type="table" w:customStyle="1" w:styleId="ad">
    <w:basedOn w:val="TableNormal1"/>
    <w:tblPr>
      <w:tblStyleRowBandSize w:val="1"/>
      <w:tblStyleColBandSize w:val="1"/>
      <w:tblCellMar>
        <w:left w:w="70" w:type="dxa"/>
        <w:right w:w="70" w:type="dxa"/>
      </w:tblCellMar>
    </w:tblPr>
  </w:style>
  <w:style w:type="table" w:customStyle="1" w:styleId="ae">
    <w:basedOn w:val="TableNormal1"/>
    <w:tblPr>
      <w:tblStyleRowBandSize w:val="1"/>
      <w:tblStyleColBandSize w:val="1"/>
      <w:tblCellMar>
        <w:left w:w="70" w:type="dxa"/>
        <w:right w:w="70" w:type="dxa"/>
      </w:tblCellMar>
    </w:tblPr>
  </w:style>
  <w:style w:type="table" w:customStyle="1" w:styleId="af">
    <w:basedOn w:val="TableNormal1"/>
    <w:tblPr>
      <w:tblStyleRowBandSize w:val="1"/>
      <w:tblStyleColBandSize w:val="1"/>
      <w:tblCellMar>
        <w:left w:w="70" w:type="dxa"/>
        <w:right w:w="70" w:type="dxa"/>
      </w:tblCellMar>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paragraph" w:customStyle="1" w:styleId="apa7">
    <w:name w:val="apa 7"/>
    <w:basedOn w:val="Normal"/>
    <w:next w:val="Normal"/>
    <w:qFormat/>
    <w:rsid w:val="00F521A2"/>
    <w:pPr>
      <w:spacing w:after="160" w:line="480" w:lineRule="auto"/>
      <w:ind w:left="1066" w:firstLine="709"/>
    </w:pPr>
    <w:rPr>
      <w:rFonts w:ascii="Times New Roman" w:eastAsiaTheme="minorEastAsia" w:hAnsi="Times New Roman" w:cs="Arial"/>
      <w:kern w:val="2"/>
      <w:lang w:eastAsia="zh-CN"/>
    </w:rPr>
  </w:style>
  <w:style w:type="table" w:customStyle="1" w:styleId="apa7vvvv">
    <w:name w:val="apa 7vvvv"/>
    <w:basedOn w:val="Tablanormal"/>
    <w:uiPriority w:val="99"/>
    <w:rsid w:val="005245E6"/>
    <w:pPr>
      <w:spacing w:line="240" w:lineRule="auto"/>
      <w:jc w:val="center"/>
    </w:pPr>
    <w:rPr>
      <w:rFonts w:ascii="Times New Roman" w:eastAsiaTheme="minorEastAsia" w:hAnsi="Times New Roman" w:cstheme="minorBidi"/>
      <w:kern w:val="2"/>
      <w:szCs w:val="22"/>
      <w:lang w:eastAsia="zh-CN"/>
    </w:rPr>
    <w:tblPr>
      <w:tblBorders>
        <w:top w:val="single" w:sz="4" w:space="0" w:color="auto"/>
        <w:bottom w:val="single" w:sz="4" w:space="0" w:color="auto"/>
      </w:tblBorders>
    </w:tblPr>
    <w:tcPr>
      <w:vAlign w:val="center"/>
    </w:tcPr>
    <w:tblStylePr w:type="firstRow">
      <w:tblPr/>
      <w:tcPr>
        <w:tcBorders>
          <w:top w:val="single" w:sz="4" w:space="0" w:color="auto"/>
          <w:left w:val="nil"/>
          <w:bottom w:val="single" w:sz="4" w:space="0" w:color="auto"/>
          <w:right w:val="nil"/>
          <w:insideH w:val="nil"/>
          <w:insideV w:val="nil"/>
          <w:tl2br w:val="nil"/>
          <w:tr2bl w:val="nil"/>
        </w:tcBorders>
      </w:tcPr>
    </w:tblStylePr>
  </w:style>
  <w:style w:type="table" w:customStyle="1" w:styleId="af4">
    <w:basedOn w:val="TableNormal0"/>
    <w:pPr>
      <w:widowControl w:val="0"/>
      <w:ind w:left="720" w:hanging="720"/>
      <w:jc w:val="center"/>
    </w:pPr>
    <w:rPr>
      <w:rFonts w:ascii="Calibri" w:eastAsia="Calibri" w:hAnsi="Calibri" w:cs="Calibri"/>
      <w:color w:val="000000"/>
    </w:rPr>
    <w:tblPr>
      <w:tblStyleRowBandSize w:val="1"/>
      <w:tblStyleColBandSize w:val="1"/>
      <w:tblCellMar>
        <w:left w:w="70" w:type="dxa"/>
        <w:right w:w="70" w:type="dxa"/>
      </w:tblCellMar>
    </w:tblPr>
    <w:tcPr>
      <w:shd w:val="clear" w:color="auto" w:fill="DBE5F1"/>
      <w:vAlign w:val="center"/>
    </w:tcPr>
  </w:style>
  <w:style w:type="table" w:customStyle="1" w:styleId="af5">
    <w:basedOn w:val="TableNormal0"/>
    <w:tblPr>
      <w:tblStyleRowBandSize w:val="1"/>
      <w:tblStyleColBandSize w:val="1"/>
      <w:tblCellMar>
        <w:left w:w="70" w:type="dxa"/>
        <w:right w:w="70" w:type="dxa"/>
      </w:tblCellMar>
    </w:tblPr>
  </w:style>
  <w:style w:type="table" w:customStyle="1" w:styleId="af6">
    <w:basedOn w:val="TableNormal0"/>
    <w:pPr>
      <w:widowControl w:val="0"/>
      <w:spacing w:line="240" w:lineRule="auto"/>
      <w:ind w:left="720" w:hanging="720"/>
      <w:jc w:val="center"/>
    </w:pPr>
    <w:rPr>
      <w:rFonts w:ascii="Times New Roman" w:eastAsia="Times New Roman" w:hAnsi="Times New Roman" w:cs="Times New Roman"/>
      <w:color w:val="000000"/>
      <w:sz w:val="18"/>
      <w:szCs w:val="18"/>
    </w:rPr>
    <w:tblPr>
      <w:tblStyleRowBandSize w:val="1"/>
      <w:tblStyleColBandSize w:val="1"/>
      <w:tblCellMar>
        <w:left w:w="115" w:type="dxa"/>
        <w:right w:w="115" w:type="dxa"/>
      </w:tblCellMar>
    </w:tblPr>
    <w:tcPr>
      <w:shd w:val="clear" w:color="auto" w:fill="DBE5F1"/>
      <w:vAlign w:val="center"/>
    </w:tcPr>
    <w:tblStylePr w:type="firstRow">
      <w:tblPr/>
      <w:tcPr>
        <w:tcBorders>
          <w:top w:val="single" w:sz="4" w:space="0" w:color="000000"/>
          <w:left w:val="nil"/>
          <w:bottom w:val="single" w:sz="4" w:space="0" w:color="000000"/>
          <w:right w:val="nil"/>
          <w:insideH w:val="nil"/>
          <w:insideV w:val="nil"/>
        </w:tcBorders>
      </w:tcPr>
    </w:tblStylePr>
  </w:style>
  <w:style w:type="table" w:customStyle="1" w:styleId="af7">
    <w:basedOn w:val="TableNormal0"/>
    <w:pPr>
      <w:widowControl w:val="0"/>
      <w:spacing w:line="240" w:lineRule="auto"/>
      <w:ind w:left="720" w:hanging="720"/>
      <w:jc w:val="center"/>
    </w:pPr>
    <w:rPr>
      <w:rFonts w:ascii="Times New Roman" w:eastAsia="Times New Roman" w:hAnsi="Times New Roman" w:cs="Times New Roman"/>
      <w:color w:val="000000"/>
      <w:sz w:val="18"/>
      <w:szCs w:val="18"/>
    </w:rPr>
    <w:tblPr>
      <w:tblStyleRowBandSize w:val="1"/>
      <w:tblStyleColBandSize w:val="1"/>
      <w:tblCellMar>
        <w:left w:w="115" w:type="dxa"/>
        <w:right w:w="115" w:type="dxa"/>
      </w:tblCellMar>
    </w:tblPr>
    <w:tcPr>
      <w:shd w:val="clear" w:color="auto" w:fill="DBE5F1"/>
      <w:vAlign w:val="center"/>
    </w:tcPr>
    <w:tblStylePr w:type="firstRow">
      <w:tblPr/>
      <w:tcPr>
        <w:tcBorders>
          <w:top w:val="single" w:sz="4" w:space="0" w:color="000000"/>
          <w:left w:val="nil"/>
          <w:bottom w:val="single" w:sz="4" w:space="0" w:color="000000"/>
          <w:right w:val="nil"/>
          <w:insideH w:val="nil"/>
          <w:insideV w:val="nil"/>
        </w:tcBorders>
      </w:tcPr>
    </w:tblStylePr>
  </w:style>
  <w:style w:type="table" w:customStyle="1" w:styleId="af8">
    <w:basedOn w:val="TableNormal0"/>
    <w:pPr>
      <w:widowControl w:val="0"/>
      <w:spacing w:line="240" w:lineRule="auto"/>
      <w:ind w:left="720" w:hanging="720"/>
      <w:jc w:val="center"/>
    </w:pPr>
    <w:rPr>
      <w:rFonts w:ascii="Times New Roman" w:eastAsia="Times New Roman" w:hAnsi="Times New Roman" w:cs="Times New Roman"/>
      <w:color w:val="000000"/>
      <w:sz w:val="18"/>
      <w:szCs w:val="18"/>
    </w:rPr>
    <w:tblPr>
      <w:tblStyleRowBandSize w:val="1"/>
      <w:tblStyleColBandSize w:val="1"/>
      <w:tblCellMar>
        <w:left w:w="115" w:type="dxa"/>
        <w:right w:w="115" w:type="dxa"/>
      </w:tblCellMar>
    </w:tblPr>
    <w:tcPr>
      <w:shd w:val="clear" w:color="auto" w:fill="DBE5F1"/>
      <w:vAlign w:val="center"/>
    </w:tcPr>
    <w:tblStylePr w:type="firstRow">
      <w:tblPr/>
      <w:tcPr>
        <w:tcBorders>
          <w:top w:val="single" w:sz="4" w:space="0" w:color="000000"/>
          <w:left w:val="nil"/>
          <w:bottom w:val="single" w:sz="4" w:space="0" w:color="000000"/>
          <w:right w:val="nil"/>
          <w:insideH w:val="nil"/>
          <w:insideV w:val="nil"/>
        </w:tcBorders>
      </w:tcPr>
    </w:tblStylePr>
  </w:style>
  <w:style w:type="paragraph" w:customStyle="1" w:styleId="Ttulo71">
    <w:name w:val="Título 71"/>
    <w:basedOn w:val="Normal"/>
    <w:next w:val="Normal"/>
    <w:uiPriority w:val="9"/>
    <w:semiHidden/>
    <w:unhideWhenUsed/>
    <w:qFormat/>
    <w:rsid w:val="00405475"/>
    <w:pPr>
      <w:keepNext/>
      <w:keepLines/>
      <w:spacing w:before="200" w:line="480" w:lineRule="auto"/>
      <w:outlineLvl w:val="6"/>
    </w:pPr>
    <w:rPr>
      <w:rFonts w:ascii="Cambria" w:hAnsi="Cambria"/>
      <w:i/>
      <w:iCs/>
      <w:color w:val="404040"/>
      <w:sz w:val="22"/>
      <w:szCs w:val="22"/>
      <w:lang w:eastAsia="en-US"/>
    </w:rPr>
  </w:style>
  <w:style w:type="character" w:customStyle="1" w:styleId="Hipervnculo1">
    <w:name w:val="Hipervínculo1"/>
    <w:basedOn w:val="Fuentedeprrafopredeter"/>
    <w:uiPriority w:val="99"/>
    <w:semiHidden/>
    <w:unhideWhenUsed/>
    <w:rsid w:val="00405475"/>
    <w:rPr>
      <w:color w:val="0000FF"/>
      <w:u w:val="single"/>
    </w:rPr>
  </w:style>
  <w:style w:type="character" w:customStyle="1" w:styleId="Hipervnculovisitado1">
    <w:name w:val="Hipervínculo visitado1"/>
    <w:basedOn w:val="Fuentedeprrafopredeter"/>
    <w:uiPriority w:val="99"/>
    <w:semiHidden/>
    <w:unhideWhenUsed/>
    <w:rsid w:val="00405475"/>
    <w:rPr>
      <w:color w:val="800080"/>
      <w:u w:val="single"/>
    </w:rPr>
  </w:style>
  <w:style w:type="character" w:customStyle="1" w:styleId="estilo101">
    <w:name w:val="estilo101"/>
    <w:basedOn w:val="Fuentedeprrafopredeter"/>
    <w:rsid w:val="00405475"/>
    <w:rPr>
      <w:sz w:val="15"/>
      <w:szCs w:val="15"/>
    </w:rPr>
  </w:style>
  <w:style w:type="table" w:customStyle="1" w:styleId="TableGrid2">
    <w:name w:val="TableGrid2"/>
    <w:rsid w:val="00405475"/>
    <w:pPr>
      <w:spacing w:line="240" w:lineRule="auto"/>
      <w:jc w:val="left"/>
    </w:pPr>
    <w:rPr>
      <w:rFonts w:ascii="Calibri" w:eastAsia="Times New Roman" w:hAnsi="Calibri" w:cs="Times New Roman"/>
      <w:sz w:val="22"/>
      <w:szCs w:val="22"/>
      <w:lang w:val="es-ES" w:eastAsia="es-ES"/>
    </w:rPr>
    <w:tblPr>
      <w:tblCellMar>
        <w:top w:w="0" w:type="dxa"/>
        <w:left w:w="0" w:type="dxa"/>
        <w:bottom w:w="0" w:type="dxa"/>
        <w:right w:w="0" w:type="dxa"/>
      </w:tblCellMar>
    </w:tblPr>
  </w:style>
  <w:style w:type="table" w:customStyle="1" w:styleId="TableGrid3">
    <w:name w:val="TableGrid3"/>
    <w:rsid w:val="00405475"/>
    <w:pPr>
      <w:spacing w:line="240" w:lineRule="auto"/>
      <w:jc w:val="left"/>
    </w:pPr>
    <w:rPr>
      <w:rFonts w:ascii="Calibri" w:eastAsia="Times New Roman" w:hAnsi="Calibri" w:cs="Times New Roman"/>
      <w:sz w:val="22"/>
      <w:szCs w:val="22"/>
      <w:lang w:val="es-ES" w:eastAsia="es-ES"/>
    </w:rPr>
    <w:tblPr>
      <w:tblCellMar>
        <w:top w:w="0" w:type="dxa"/>
        <w:left w:w="0" w:type="dxa"/>
        <w:bottom w:w="0" w:type="dxa"/>
        <w:right w:w="0" w:type="dxa"/>
      </w:tblCellMar>
    </w:tblPr>
  </w:style>
  <w:style w:type="table" w:customStyle="1" w:styleId="Tablanormal11">
    <w:name w:val="Tabla normal 11"/>
    <w:basedOn w:val="Tablanormal"/>
    <w:uiPriority w:val="41"/>
    <w:rsid w:val="00405475"/>
    <w:pPr>
      <w:spacing w:line="240" w:lineRule="auto"/>
      <w:jc w:val="left"/>
    </w:pPr>
    <w:rPr>
      <w:rFonts w:ascii="Calibri" w:eastAsia="Calibri" w:hAnsi="Calibri" w:cs="Times New Roman"/>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uadrculadetablaclara1">
    <w:name w:val="Cuadrícula de tabla clara1"/>
    <w:basedOn w:val="Tablanormal"/>
    <w:uiPriority w:val="40"/>
    <w:rsid w:val="00405475"/>
    <w:pPr>
      <w:spacing w:line="240" w:lineRule="auto"/>
      <w:jc w:val="left"/>
    </w:pPr>
    <w:rPr>
      <w:rFonts w:ascii="Calibri" w:eastAsia="Calibri" w:hAnsi="Calibri" w:cs="Times New Roman"/>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2111">
    <w:name w:val="Tabla con cuadrícula2111"/>
    <w:basedOn w:val="Tablanormal"/>
    <w:rsid w:val="00405475"/>
    <w:pPr>
      <w:spacing w:line="240" w:lineRule="auto"/>
      <w:jc w:val="left"/>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rsid w:val="00405475"/>
    <w:pPr>
      <w:spacing w:line="240" w:lineRule="auto"/>
      <w:jc w:val="left"/>
    </w:pPr>
    <w:rPr>
      <w:rFonts w:ascii="Calibri" w:eastAsia="Calibri" w:hAnsi="Calibri" w:cs="Times New Roman"/>
      <w:sz w:val="20"/>
      <w:szCs w:val="20"/>
      <w:lang w:val="es-ES_tradnl" w:eastAsia="es-ES_trad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Grid25"/>
    <w:rsid w:val="00405475"/>
    <w:pPr>
      <w:spacing w:line="240" w:lineRule="auto"/>
      <w:jc w:val="left"/>
    </w:pPr>
    <w:rPr>
      <w:rFonts w:ascii="Calibri" w:eastAsia="Times New Roman" w:hAnsi="Calibri" w:cs="Times New Roman"/>
      <w:sz w:val="22"/>
      <w:szCs w:val="22"/>
      <w:lang w:eastAsia="en-US"/>
    </w:rPr>
    <w:tblPr>
      <w:tblCellMar>
        <w:top w:w="0" w:type="dxa"/>
        <w:left w:w="0" w:type="dxa"/>
        <w:bottom w:w="0" w:type="dxa"/>
        <w:right w:w="0" w:type="dxa"/>
      </w:tblCellMar>
    </w:tblPr>
  </w:style>
  <w:style w:type="table" w:customStyle="1" w:styleId="TableGrid26">
    <w:name w:val="TableGrid26"/>
    <w:rsid w:val="00405475"/>
    <w:pPr>
      <w:spacing w:line="240" w:lineRule="auto"/>
      <w:jc w:val="left"/>
    </w:pPr>
    <w:rPr>
      <w:rFonts w:ascii="Calibri" w:eastAsia="Times New Roman" w:hAnsi="Calibri" w:cs="Times New Roman"/>
      <w:sz w:val="22"/>
      <w:szCs w:val="22"/>
      <w:lang w:eastAsia="en-US"/>
    </w:rPr>
    <w:tblPr>
      <w:tblCellMar>
        <w:top w:w="0" w:type="dxa"/>
        <w:left w:w="0" w:type="dxa"/>
        <w:bottom w:w="0" w:type="dxa"/>
        <w:right w:w="0" w:type="dxa"/>
      </w:tblCellMar>
    </w:tblPr>
  </w:style>
  <w:style w:type="character" w:customStyle="1" w:styleId="Ttulo7Car1">
    <w:name w:val="Título 7 Car1"/>
    <w:basedOn w:val="Fuentedeprrafopredeter"/>
    <w:uiPriority w:val="9"/>
    <w:semiHidden/>
    <w:rsid w:val="00405475"/>
    <w:rPr>
      <w:rFonts w:asciiTheme="majorHAnsi" w:eastAsiaTheme="majorEastAsia" w:hAnsiTheme="majorHAnsi" w:cstheme="majorBidi"/>
      <w:i/>
      <w:iCs/>
      <w:color w:val="404040" w:themeColor="text1" w:themeTint="BF"/>
    </w:rPr>
  </w:style>
  <w:style w:type="table" w:customStyle="1" w:styleId="Tablanormal111">
    <w:name w:val="Tabla normal 111"/>
    <w:basedOn w:val="Tablanormal"/>
    <w:uiPriority w:val="41"/>
    <w:rsid w:val="00405475"/>
    <w:pPr>
      <w:spacing w:line="240" w:lineRule="auto"/>
      <w:jc w:val="left"/>
    </w:pPr>
    <w:rPr>
      <w:rFonts w:asciiTheme="minorHAnsi" w:eastAsiaTheme="minorHAnsi" w:hAnsiTheme="minorHAnsi" w:cstheme="minorBidi"/>
      <w:sz w:val="22"/>
      <w:szCs w:val="22"/>
      <w:lang w:val="es-EC"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alue">
    <w:name w:val="value"/>
    <w:basedOn w:val="Fuentedeprrafopredeter"/>
    <w:rsid w:val="00405475"/>
  </w:style>
  <w:style w:type="character" w:customStyle="1" w:styleId="format">
    <w:name w:val="format"/>
    <w:basedOn w:val="Fuentedeprrafopredeter"/>
    <w:rsid w:val="00405475"/>
  </w:style>
  <w:style w:type="character" w:customStyle="1" w:styleId="author-data">
    <w:name w:val="author-data"/>
    <w:basedOn w:val="Fuentedeprrafopredeter"/>
    <w:rsid w:val="00405475"/>
  </w:style>
  <w:style w:type="table" w:styleId="Tabladecuadrcula4-nfasis6">
    <w:name w:val="Grid Table 4 Accent 6"/>
    <w:basedOn w:val="Tablanormal"/>
    <w:uiPriority w:val="49"/>
    <w:rsid w:val="00405475"/>
    <w:pPr>
      <w:spacing w:line="240" w:lineRule="auto"/>
      <w:jc w:val="left"/>
    </w:pPr>
    <w:rPr>
      <w:rFonts w:asciiTheme="minorHAnsi" w:eastAsia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6concolores-nfasis6">
    <w:name w:val="Grid Table 6 Colorful Accent 6"/>
    <w:basedOn w:val="Tablanormal"/>
    <w:uiPriority w:val="51"/>
    <w:rsid w:val="00405475"/>
    <w:pPr>
      <w:spacing w:line="240" w:lineRule="auto"/>
      <w:jc w:val="left"/>
    </w:pPr>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5oscura-nfasis6">
    <w:name w:val="Grid Table 5 Dark Accent 6"/>
    <w:basedOn w:val="Tablanormal"/>
    <w:uiPriority w:val="50"/>
    <w:rsid w:val="00405475"/>
    <w:pPr>
      <w:spacing w:line="240" w:lineRule="auto"/>
      <w:jc w:val="left"/>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cuadrcula5oscura-nfasis5">
    <w:name w:val="Grid Table 5 Dark Accent 5"/>
    <w:basedOn w:val="Tablanormal"/>
    <w:uiPriority w:val="50"/>
    <w:rsid w:val="00405475"/>
    <w:pPr>
      <w:spacing w:line="240" w:lineRule="auto"/>
      <w:jc w:val="left"/>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decuadrcula7concolores-nfasis6">
    <w:name w:val="Grid Table 7 Colorful Accent 6"/>
    <w:basedOn w:val="Tablanormal"/>
    <w:uiPriority w:val="52"/>
    <w:rsid w:val="00405475"/>
    <w:pPr>
      <w:spacing w:line="240" w:lineRule="auto"/>
      <w:jc w:val="left"/>
    </w:pPr>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encinsinresolver6">
    <w:name w:val="Mención sin resolver6"/>
    <w:basedOn w:val="Fuentedeprrafopredeter"/>
    <w:uiPriority w:val="99"/>
    <w:semiHidden/>
    <w:unhideWhenUsed/>
    <w:rsid w:val="00A11F1B"/>
    <w:rPr>
      <w:color w:val="605E5C"/>
      <w:shd w:val="clear" w:color="auto" w:fill="E1DFDD"/>
    </w:rPr>
  </w:style>
  <w:style w:type="paragraph" w:customStyle="1" w:styleId="footnotedescription">
    <w:name w:val="footnote description"/>
    <w:next w:val="Normal"/>
    <w:link w:val="footnotedescriptionChar"/>
    <w:hidden/>
    <w:rsid w:val="001E0FA4"/>
    <w:pPr>
      <w:spacing w:line="259" w:lineRule="auto"/>
      <w:jc w:val="left"/>
    </w:pPr>
    <w:rPr>
      <w:rFonts w:ascii="Times New Roman" w:eastAsia="Times New Roman" w:hAnsi="Times New Roman" w:cs="Times New Roman"/>
      <w:color w:val="000000"/>
      <w:sz w:val="20"/>
      <w:szCs w:val="22"/>
      <w:lang w:val="es-MX" w:eastAsia="es-MX"/>
    </w:rPr>
  </w:style>
  <w:style w:type="character" w:customStyle="1" w:styleId="footnotedescriptionChar">
    <w:name w:val="footnote description Char"/>
    <w:link w:val="footnotedescription"/>
    <w:rsid w:val="001E0FA4"/>
    <w:rPr>
      <w:rFonts w:ascii="Times New Roman" w:eastAsia="Times New Roman" w:hAnsi="Times New Roman" w:cs="Times New Roman"/>
      <w:color w:val="000000"/>
      <w:sz w:val="20"/>
      <w:szCs w:val="22"/>
      <w:lang w:val="es-MX" w:eastAsia="es-MX"/>
    </w:rPr>
  </w:style>
  <w:style w:type="character" w:customStyle="1" w:styleId="footnotemark">
    <w:name w:val="footnote mark"/>
    <w:hidden/>
    <w:rsid w:val="001E0FA4"/>
    <w:rPr>
      <w:rFonts w:ascii="Times New Roman" w:eastAsia="Times New Roman" w:hAnsi="Times New Roman" w:cs="Times New Roman"/>
      <w:color w:val="000000"/>
      <w:sz w:val="20"/>
      <w:vertAlign w:val="superscript"/>
    </w:rPr>
  </w:style>
  <w:style w:type="character" w:styleId="Ttulodellibro">
    <w:name w:val="Book Title"/>
    <w:aliases w:val="Título de tabla"/>
    <w:uiPriority w:val="33"/>
    <w:rsid w:val="00B66614"/>
    <w:rPr>
      <w:i/>
      <w:iCs/>
      <w:lang w:val="es-PE"/>
    </w:rPr>
  </w:style>
  <w:style w:type="paragraph" w:customStyle="1" w:styleId="Tablattulo">
    <w:name w:val="Tabla título"/>
    <w:basedOn w:val="Normal"/>
    <w:link w:val="TablattuloCar"/>
    <w:qFormat/>
    <w:rsid w:val="00B66614"/>
    <w:pPr>
      <w:spacing w:after="160"/>
    </w:pPr>
    <w:rPr>
      <w:rFonts w:eastAsiaTheme="minorHAnsi" w:cs="Arial"/>
      <w:b/>
      <w:bCs/>
      <w:kern w:val="2"/>
      <w:lang w:eastAsia="en-US"/>
      <w14:ligatures w14:val="standardContextual"/>
    </w:rPr>
  </w:style>
  <w:style w:type="character" w:customStyle="1" w:styleId="TablattuloCar">
    <w:name w:val="Tabla título Car"/>
    <w:basedOn w:val="Fuentedeprrafopredeter"/>
    <w:link w:val="Tablattulo"/>
    <w:rsid w:val="00B66614"/>
    <w:rPr>
      <w:rFonts w:eastAsiaTheme="minorHAnsi"/>
      <w:b/>
      <w:bCs/>
      <w:kern w:val="2"/>
      <w:lang w:eastAsia="en-US"/>
      <w14:ligatures w14:val="standardContextual"/>
    </w:rPr>
  </w:style>
  <w:style w:type="paragraph" w:customStyle="1" w:styleId="Tablasubttulo">
    <w:name w:val="Tabla subtítulo"/>
    <w:basedOn w:val="Normal"/>
    <w:link w:val="TablasubttuloCar"/>
    <w:qFormat/>
    <w:rsid w:val="00B66614"/>
    <w:pPr>
      <w:spacing w:after="160"/>
    </w:pPr>
    <w:rPr>
      <w:rFonts w:eastAsiaTheme="minorHAnsi" w:cs="Arial"/>
      <w:i/>
      <w:kern w:val="2"/>
      <w:lang w:val="en-US" w:eastAsia="en-US"/>
      <w14:ligatures w14:val="standardContextual"/>
    </w:rPr>
  </w:style>
  <w:style w:type="character" w:customStyle="1" w:styleId="TablasubttuloCar">
    <w:name w:val="Tabla subtítulo Car"/>
    <w:basedOn w:val="Fuentedeprrafopredeter"/>
    <w:link w:val="Tablasubttulo"/>
    <w:rsid w:val="00B66614"/>
    <w:rPr>
      <w:rFonts w:eastAsiaTheme="minorHAnsi"/>
      <w:i/>
      <w:kern w:val="2"/>
      <w:lang w:val="en-US" w:eastAsia="en-US"/>
      <w14:ligatures w14:val="standardContextual"/>
    </w:rPr>
  </w:style>
  <w:style w:type="paragraph" w:customStyle="1" w:styleId="Prrafo">
    <w:name w:val="Párrafo"/>
    <w:basedOn w:val="Normal"/>
    <w:qFormat/>
    <w:rsid w:val="0044222D"/>
    <w:pPr>
      <w:ind w:firstLine="720"/>
    </w:pPr>
    <w:rPr>
      <w:rFonts w:ascii="Times New Roman" w:eastAsia="Calibri" w:hAnsi="Times New Roman" w:cs="Calibri"/>
      <w:sz w:val="20"/>
      <w:szCs w:val="22"/>
      <w:lang w:val="es-ES" w:eastAsia="es-PE"/>
    </w:rPr>
  </w:style>
  <w:style w:type="table" w:customStyle="1" w:styleId="TablasAntony2">
    <w:name w:val="TablasAntony2"/>
    <w:basedOn w:val="Tablanormal"/>
    <w:uiPriority w:val="99"/>
    <w:rsid w:val="0044222D"/>
    <w:pPr>
      <w:spacing w:line="240" w:lineRule="auto"/>
      <w:jc w:val="left"/>
    </w:pPr>
    <w:rPr>
      <w:rFonts w:eastAsiaTheme="minorHAnsi" w:cstheme="minorBidi"/>
      <w:sz w:val="16"/>
      <w:szCs w:val="22"/>
      <w:lang w:val="es-ES" w:eastAsia="en-US"/>
    </w:rPr>
    <w:tblPr>
      <w:tblInd w:w="0" w:type="nil"/>
      <w:tblBorders>
        <w:top w:val="single" w:sz="4" w:space="0" w:color="auto"/>
        <w:bottom w:val="single" w:sz="4" w:space="0" w:color="auto"/>
      </w:tblBorders>
    </w:tblPr>
    <w:tcPr>
      <w:shd w:val="clear" w:color="auto" w:fill="FFFFFF" w:themeFill="background1"/>
      <w:vAlign w:val="center"/>
    </w:tcPr>
  </w:style>
  <w:style w:type="paragraph" w:styleId="Cita">
    <w:name w:val="Quote"/>
    <w:basedOn w:val="Normal"/>
    <w:next w:val="Normal"/>
    <w:link w:val="CitaCar"/>
    <w:uiPriority w:val="29"/>
    <w:qFormat/>
    <w:rsid w:val="001138D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1138D4"/>
    <w:rPr>
      <w:rFonts w:asciiTheme="minorHAnsi" w:eastAsiaTheme="minorHAnsi" w:hAnsiTheme="minorHAnsi" w:cstheme="minorBidi"/>
      <w:i/>
      <w:iCs/>
      <w:color w:val="404040" w:themeColor="text1" w:themeTint="BF"/>
      <w:kern w:val="2"/>
      <w:lang w:eastAsia="en-US"/>
      <w14:ligatures w14:val="standardContextual"/>
    </w:rPr>
  </w:style>
  <w:style w:type="character" w:styleId="nfasisintenso">
    <w:name w:val="Intense Emphasis"/>
    <w:basedOn w:val="Fuentedeprrafopredeter"/>
    <w:uiPriority w:val="21"/>
    <w:qFormat/>
    <w:rsid w:val="001138D4"/>
    <w:rPr>
      <w:i/>
      <w:iCs/>
      <w:color w:val="2E74B5" w:themeColor="accent1" w:themeShade="BF"/>
    </w:rPr>
  </w:style>
  <w:style w:type="paragraph" w:styleId="Citadestacada">
    <w:name w:val="Intense Quote"/>
    <w:basedOn w:val="Normal"/>
    <w:next w:val="Normal"/>
    <w:link w:val="CitadestacadaCar"/>
    <w:uiPriority w:val="30"/>
    <w:qFormat/>
    <w:rsid w:val="001138D4"/>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1138D4"/>
    <w:rPr>
      <w:rFonts w:asciiTheme="minorHAnsi" w:eastAsiaTheme="minorHAnsi" w:hAnsiTheme="minorHAnsi" w:cstheme="minorBidi"/>
      <w:i/>
      <w:iCs/>
      <w:color w:val="2E74B5" w:themeColor="accent1" w:themeShade="BF"/>
      <w:kern w:val="2"/>
      <w:lang w:eastAsia="en-US"/>
      <w14:ligatures w14:val="standardContextual"/>
    </w:rPr>
  </w:style>
  <w:style w:type="character" w:styleId="Referenciaintensa">
    <w:name w:val="Intense Reference"/>
    <w:basedOn w:val="Fuentedeprrafopredeter"/>
    <w:uiPriority w:val="32"/>
    <w:qFormat/>
    <w:rsid w:val="001138D4"/>
    <w:rPr>
      <w:b/>
      <w:bCs/>
      <w:smallCaps/>
      <w:color w:val="2E74B5" w:themeColor="accent1" w:themeShade="BF"/>
      <w:spacing w:val="5"/>
    </w:rPr>
  </w:style>
  <w:style w:type="character" w:customStyle="1" w:styleId="citation-44">
    <w:name w:val="citation-44"/>
    <w:basedOn w:val="Fuentedeprrafopredeter"/>
    <w:rsid w:val="00155E3C"/>
  </w:style>
  <w:style w:type="paragraph" w:customStyle="1" w:styleId="Tabla">
    <w:name w:val="Tabla"/>
    <w:basedOn w:val="Puesto"/>
    <w:link w:val="TablaChar"/>
    <w:qFormat/>
    <w:rsid w:val="00155E3C"/>
    <w:pPr>
      <w:keepNext/>
      <w:keepLines/>
      <w:numPr>
        <w:numId w:val="3"/>
      </w:numPr>
      <w:spacing w:before="480" w:line="480" w:lineRule="auto"/>
      <w:jc w:val="both"/>
    </w:pPr>
    <w:rPr>
      <w:rFonts w:ascii="Times New Roman" w:eastAsia="Calibri" w:hAnsi="Times New Roman" w:cs="Calibri"/>
      <w:b/>
      <w:sz w:val="22"/>
      <w:szCs w:val="72"/>
      <w:lang w:eastAsia="en-US"/>
    </w:rPr>
  </w:style>
  <w:style w:type="paragraph" w:customStyle="1" w:styleId="Figura">
    <w:name w:val="Figura"/>
    <w:basedOn w:val="Tabladeilustraciones"/>
    <w:link w:val="FiguraChar"/>
    <w:qFormat/>
    <w:rsid w:val="00155E3C"/>
    <w:pPr>
      <w:numPr>
        <w:numId w:val="4"/>
      </w:numPr>
      <w:spacing w:line="480" w:lineRule="auto"/>
    </w:pPr>
    <w:rPr>
      <w:rFonts w:ascii="Calibri" w:hAnsi="Calibri" w:cs="Calibri"/>
      <w:b/>
      <w:caps w:val="0"/>
      <w:color w:val="000000"/>
      <w:sz w:val="22"/>
      <w:szCs w:val="22"/>
      <w:lang w:eastAsia="en-US"/>
    </w:rPr>
  </w:style>
  <w:style w:type="character" w:customStyle="1" w:styleId="TablaChar">
    <w:name w:val="Tabla Char"/>
    <w:basedOn w:val="Fuentedeprrafopredeter"/>
    <w:link w:val="Tabla"/>
    <w:rsid w:val="00155E3C"/>
    <w:rPr>
      <w:rFonts w:ascii="Times New Roman" w:eastAsia="Calibri" w:hAnsi="Times New Roman" w:cs="Calibri"/>
      <w:b/>
      <w:sz w:val="22"/>
      <w:szCs w:val="72"/>
      <w:lang w:eastAsia="en-US"/>
    </w:rPr>
  </w:style>
  <w:style w:type="character" w:customStyle="1" w:styleId="FiguraChar">
    <w:name w:val="Figura Char"/>
    <w:basedOn w:val="Fuentedeprrafopredeter"/>
    <w:link w:val="Figura"/>
    <w:rsid w:val="00155E3C"/>
    <w:rPr>
      <w:rFonts w:ascii="Calibri" w:eastAsia="Times New Roman" w:hAnsi="Calibri" w:cs="Calibri"/>
      <w:b/>
      <w:color w:val="000000"/>
      <w:sz w:val="22"/>
      <w:szCs w:val="22"/>
      <w:lang w:eastAsia="en-US"/>
    </w:rPr>
  </w:style>
  <w:style w:type="character" w:customStyle="1" w:styleId="italica">
    <w:name w:val="italica"/>
    <w:basedOn w:val="Fuentedeprrafopredeter"/>
    <w:rsid w:val="005543C4"/>
  </w:style>
  <w:style w:type="character" w:customStyle="1" w:styleId="grame">
    <w:name w:val="grame"/>
    <w:basedOn w:val="Fuentedeprrafopredeter"/>
    <w:rsid w:val="005543C4"/>
  </w:style>
  <w:style w:type="character" w:customStyle="1" w:styleId="spelle">
    <w:name w:val="spelle"/>
    <w:basedOn w:val="Fuentedeprrafopredeter"/>
    <w:rsid w:val="005543C4"/>
  </w:style>
  <w:style w:type="table" w:customStyle="1" w:styleId="TableNormal10">
    <w:name w:val="Table Normal1"/>
    <w:uiPriority w:val="2"/>
    <w:semiHidden/>
    <w:unhideWhenUsed/>
    <w:qFormat/>
    <w:rsid w:val="00776E01"/>
    <w:pPr>
      <w:widowControl w:val="0"/>
      <w:autoSpaceDE w:val="0"/>
      <w:autoSpaceDN w:val="0"/>
      <w:spacing w:line="240" w:lineRule="auto"/>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TablasAntony1">
    <w:name w:val="TablasAntony1"/>
    <w:basedOn w:val="Tablanormal"/>
    <w:uiPriority w:val="99"/>
    <w:rsid w:val="00D350E1"/>
    <w:pPr>
      <w:spacing w:line="240" w:lineRule="auto"/>
      <w:jc w:val="left"/>
    </w:pPr>
    <w:rPr>
      <w:rFonts w:eastAsia="Calibri"/>
      <w:sz w:val="16"/>
      <w:szCs w:val="22"/>
      <w:lang w:val="es-ES" w:eastAsia="en-US"/>
    </w:rPr>
    <w:tblPr>
      <w:jc w:val="center"/>
      <w:tblBorders>
        <w:top w:val="single" w:sz="4" w:space="0" w:color="auto"/>
        <w:bottom w:val="single" w:sz="4" w:space="0" w:color="auto"/>
      </w:tblBorders>
    </w:tblPr>
    <w:trPr>
      <w:jc w:val="center"/>
    </w:trPr>
    <w:tcPr>
      <w:shd w:val="clear" w:color="auto" w:fill="FFFFFF"/>
      <w:vAlign w:val="center"/>
    </w:tcPr>
  </w:style>
  <w:style w:type="character" w:customStyle="1" w:styleId="UnresolvedMention">
    <w:name w:val="Unresolved Mention"/>
    <w:basedOn w:val="Fuentedeprrafopredeter"/>
    <w:uiPriority w:val="99"/>
    <w:semiHidden/>
    <w:unhideWhenUsed/>
    <w:rsid w:val="0032387D"/>
    <w:rPr>
      <w:color w:val="605E5C"/>
      <w:shd w:val="clear" w:color="auto" w:fill="E1DFDD"/>
    </w:rPr>
  </w:style>
  <w:style w:type="paragraph" w:styleId="Listaconnmeros">
    <w:name w:val="List Number"/>
    <w:basedOn w:val="Normal"/>
    <w:uiPriority w:val="99"/>
    <w:semiHidden/>
    <w:unhideWhenUsed/>
    <w:rsid w:val="00F9625C"/>
    <w:pPr>
      <w:numPr>
        <w:numId w:val="11"/>
      </w:numPr>
      <w:contextualSpacing/>
    </w:pPr>
  </w:style>
  <w:style w:type="paragraph" w:styleId="Listaconvietas">
    <w:name w:val="List Bullet"/>
    <w:basedOn w:val="Normal"/>
    <w:uiPriority w:val="99"/>
    <w:unhideWhenUsed/>
    <w:rsid w:val="00F9625C"/>
    <w:pPr>
      <w:numPr>
        <w:numId w:val="12"/>
      </w:numPr>
      <w:tabs>
        <w:tab w:val="clear" w:pos="360"/>
      </w:tabs>
      <w:spacing w:after="120" w:line="259" w:lineRule="auto"/>
      <w:ind w:left="0" w:firstLine="0"/>
      <w:contextualSpacing/>
      <w:jc w:val="left"/>
    </w:pPr>
    <w:rPr>
      <w:rFonts w:eastAsia="Arial" w:cstheme="minorBidi"/>
      <w:sz w:val="21"/>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6754">
      <w:bodyDiv w:val="1"/>
      <w:marLeft w:val="0"/>
      <w:marRight w:val="0"/>
      <w:marTop w:val="0"/>
      <w:marBottom w:val="0"/>
      <w:divBdr>
        <w:top w:val="none" w:sz="0" w:space="0" w:color="auto"/>
        <w:left w:val="none" w:sz="0" w:space="0" w:color="auto"/>
        <w:bottom w:val="none" w:sz="0" w:space="0" w:color="auto"/>
        <w:right w:val="none" w:sz="0" w:space="0" w:color="auto"/>
      </w:divBdr>
      <w:divsChild>
        <w:div w:id="233049762">
          <w:marLeft w:val="0"/>
          <w:marRight w:val="0"/>
          <w:marTop w:val="0"/>
          <w:marBottom w:val="0"/>
          <w:divBdr>
            <w:top w:val="none" w:sz="0" w:space="0" w:color="auto"/>
            <w:left w:val="none" w:sz="0" w:space="0" w:color="auto"/>
            <w:bottom w:val="none" w:sz="0" w:space="0" w:color="auto"/>
            <w:right w:val="none" w:sz="0" w:space="0" w:color="auto"/>
          </w:divBdr>
        </w:div>
        <w:div w:id="1716270721">
          <w:marLeft w:val="0"/>
          <w:marRight w:val="0"/>
          <w:marTop w:val="0"/>
          <w:marBottom w:val="0"/>
          <w:divBdr>
            <w:top w:val="none" w:sz="0" w:space="0" w:color="auto"/>
            <w:left w:val="none" w:sz="0" w:space="0" w:color="auto"/>
            <w:bottom w:val="none" w:sz="0" w:space="0" w:color="auto"/>
            <w:right w:val="none" w:sz="0" w:space="0" w:color="auto"/>
          </w:divBdr>
        </w:div>
        <w:div w:id="2085570387">
          <w:marLeft w:val="0"/>
          <w:marRight w:val="0"/>
          <w:marTop w:val="0"/>
          <w:marBottom w:val="0"/>
          <w:divBdr>
            <w:top w:val="none" w:sz="0" w:space="0" w:color="auto"/>
            <w:left w:val="none" w:sz="0" w:space="0" w:color="auto"/>
            <w:bottom w:val="none" w:sz="0" w:space="0" w:color="auto"/>
            <w:right w:val="none" w:sz="0" w:space="0" w:color="auto"/>
          </w:divBdr>
        </w:div>
        <w:div w:id="1358460373">
          <w:marLeft w:val="0"/>
          <w:marRight w:val="0"/>
          <w:marTop w:val="0"/>
          <w:marBottom w:val="0"/>
          <w:divBdr>
            <w:top w:val="none" w:sz="0" w:space="0" w:color="auto"/>
            <w:left w:val="none" w:sz="0" w:space="0" w:color="auto"/>
            <w:bottom w:val="none" w:sz="0" w:space="0" w:color="auto"/>
            <w:right w:val="none" w:sz="0" w:space="0" w:color="auto"/>
          </w:divBdr>
        </w:div>
        <w:div w:id="109201933">
          <w:marLeft w:val="0"/>
          <w:marRight w:val="0"/>
          <w:marTop w:val="0"/>
          <w:marBottom w:val="0"/>
          <w:divBdr>
            <w:top w:val="none" w:sz="0" w:space="0" w:color="auto"/>
            <w:left w:val="none" w:sz="0" w:space="0" w:color="auto"/>
            <w:bottom w:val="none" w:sz="0" w:space="0" w:color="auto"/>
            <w:right w:val="none" w:sz="0" w:space="0" w:color="auto"/>
          </w:divBdr>
        </w:div>
      </w:divsChild>
    </w:div>
    <w:div w:id="19551069">
      <w:bodyDiv w:val="1"/>
      <w:marLeft w:val="0"/>
      <w:marRight w:val="0"/>
      <w:marTop w:val="0"/>
      <w:marBottom w:val="0"/>
      <w:divBdr>
        <w:top w:val="none" w:sz="0" w:space="0" w:color="auto"/>
        <w:left w:val="none" w:sz="0" w:space="0" w:color="auto"/>
        <w:bottom w:val="none" w:sz="0" w:space="0" w:color="auto"/>
        <w:right w:val="none" w:sz="0" w:space="0" w:color="auto"/>
      </w:divBdr>
    </w:div>
    <w:div w:id="69622067">
      <w:bodyDiv w:val="1"/>
      <w:marLeft w:val="0"/>
      <w:marRight w:val="0"/>
      <w:marTop w:val="0"/>
      <w:marBottom w:val="0"/>
      <w:divBdr>
        <w:top w:val="none" w:sz="0" w:space="0" w:color="auto"/>
        <w:left w:val="none" w:sz="0" w:space="0" w:color="auto"/>
        <w:bottom w:val="none" w:sz="0" w:space="0" w:color="auto"/>
        <w:right w:val="none" w:sz="0" w:space="0" w:color="auto"/>
      </w:divBdr>
    </w:div>
    <w:div w:id="397748633">
      <w:bodyDiv w:val="1"/>
      <w:marLeft w:val="0"/>
      <w:marRight w:val="0"/>
      <w:marTop w:val="0"/>
      <w:marBottom w:val="0"/>
      <w:divBdr>
        <w:top w:val="none" w:sz="0" w:space="0" w:color="auto"/>
        <w:left w:val="none" w:sz="0" w:space="0" w:color="auto"/>
        <w:bottom w:val="none" w:sz="0" w:space="0" w:color="auto"/>
        <w:right w:val="none" w:sz="0" w:space="0" w:color="auto"/>
      </w:divBdr>
    </w:div>
    <w:div w:id="457190550">
      <w:bodyDiv w:val="1"/>
      <w:marLeft w:val="0"/>
      <w:marRight w:val="0"/>
      <w:marTop w:val="0"/>
      <w:marBottom w:val="0"/>
      <w:divBdr>
        <w:top w:val="none" w:sz="0" w:space="0" w:color="auto"/>
        <w:left w:val="none" w:sz="0" w:space="0" w:color="auto"/>
        <w:bottom w:val="none" w:sz="0" w:space="0" w:color="auto"/>
        <w:right w:val="none" w:sz="0" w:space="0" w:color="auto"/>
      </w:divBdr>
      <w:divsChild>
        <w:div w:id="898397849">
          <w:marLeft w:val="0"/>
          <w:marRight w:val="0"/>
          <w:marTop w:val="0"/>
          <w:marBottom w:val="0"/>
          <w:divBdr>
            <w:top w:val="none" w:sz="0" w:space="0" w:color="auto"/>
            <w:left w:val="none" w:sz="0" w:space="0" w:color="auto"/>
            <w:bottom w:val="none" w:sz="0" w:space="0" w:color="auto"/>
            <w:right w:val="none" w:sz="0" w:space="0" w:color="auto"/>
          </w:divBdr>
        </w:div>
        <w:div w:id="1677078777">
          <w:marLeft w:val="0"/>
          <w:marRight w:val="0"/>
          <w:marTop w:val="0"/>
          <w:marBottom w:val="0"/>
          <w:divBdr>
            <w:top w:val="none" w:sz="0" w:space="0" w:color="auto"/>
            <w:left w:val="none" w:sz="0" w:space="0" w:color="auto"/>
            <w:bottom w:val="none" w:sz="0" w:space="0" w:color="auto"/>
            <w:right w:val="none" w:sz="0" w:space="0" w:color="auto"/>
          </w:divBdr>
        </w:div>
        <w:div w:id="1612004759">
          <w:marLeft w:val="0"/>
          <w:marRight w:val="0"/>
          <w:marTop w:val="0"/>
          <w:marBottom w:val="0"/>
          <w:divBdr>
            <w:top w:val="none" w:sz="0" w:space="0" w:color="auto"/>
            <w:left w:val="none" w:sz="0" w:space="0" w:color="auto"/>
            <w:bottom w:val="none" w:sz="0" w:space="0" w:color="auto"/>
            <w:right w:val="none" w:sz="0" w:space="0" w:color="auto"/>
          </w:divBdr>
        </w:div>
        <w:div w:id="1561987005">
          <w:marLeft w:val="0"/>
          <w:marRight w:val="0"/>
          <w:marTop w:val="0"/>
          <w:marBottom w:val="0"/>
          <w:divBdr>
            <w:top w:val="none" w:sz="0" w:space="0" w:color="auto"/>
            <w:left w:val="none" w:sz="0" w:space="0" w:color="auto"/>
            <w:bottom w:val="none" w:sz="0" w:space="0" w:color="auto"/>
            <w:right w:val="none" w:sz="0" w:space="0" w:color="auto"/>
          </w:divBdr>
        </w:div>
        <w:div w:id="1848907879">
          <w:marLeft w:val="0"/>
          <w:marRight w:val="0"/>
          <w:marTop w:val="0"/>
          <w:marBottom w:val="0"/>
          <w:divBdr>
            <w:top w:val="none" w:sz="0" w:space="0" w:color="auto"/>
            <w:left w:val="none" w:sz="0" w:space="0" w:color="auto"/>
            <w:bottom w:val="none" w:sz="0" w:space="0" w:color="auto"/>
            <w:right w:val="none" w:sz="0" w:space="0" w:color="auto"/>
          </w:divBdr>
        </w:div>
        <w:div w:id="1079790318">
          <w:marLeft w:val="0"/>
          <w:marRight w:val="0"/>
          <w:marTop w:val="0"/>
          <w:marBottom w:val="0"/>
          <w:divBdr>
            <w:top w:val="none" w:sz="0" w:space="0" w:color="auto"/>
            <w:left w:val="none" w:sz="0" w:space="0" w:color="auto"/>
            <w:bottom w:val="none" w:sz="0" w:space="0" w:color="auto"/>
            <w:right w:val="none" w:sz="0" w:space="0" w:color="auto"/>
          </w:divBdr>
        </w:div>
        <w:div w:id="450562582">
          <w:marLeft w:val="0"/>
          <w:marRight w:val="0"/>
          <w:marTop w:val="0"/>
          <w:marBottom w:val="0"/>
          <w:divBdr>
            <w:top w:val="none" w:sz="0" w:space="0" w:color="auto"/>
            <w:left w:val="none" w:sz="0" w:space="0" w:color="auto"/>
            <w:bottom w:val="none" w:sz="0" w:space="0" w:color="auto"/>
            <w:right w:val="none" w:sz="0" w:space="0" w:color="auto"/>
          </w:divBdr>
        </w:div>
        <w:div w:id="1901210241">
          <w:marLeft w:val="0"/>
          <w:marRight w:val="0"/>
          <w:marTop w:val="0"/>
          <w:marBottom w:val="0"/>
          <w:divBdr>
            <w:top w:val="none" w:sz="0" w:space="0" w:color="auto"/>
            <w:left w:val="none" w:sz="0" w:space="0" w:color="auto"/>
            <w:bottom w:val="none" w:sz="0" w:space="0" w:color="auto"/>
            <w:right w:val="none" w:sz="0" w:space="0" w:color="auto"/>
          </w:divBdr>
        </w:div>
        <w:div w:id="1019545576">
          <w:marLeft w:val="0"/>
          <w:marRight w:val="0"/>
          <w:marTop w:val="0"/>
          <w:marBottom w:val="0"/>
          <w:divBdr>
            <w:top w:val="none" w:sz="0" w:space="0" w:color="auto"/>
            <w:left w:val="none" w:sz="0" w:space="0" w:color="auto"/>
            <w:bottom w:val="none" w:sz="0" w:space="0" w:color="auto"/>
            <w:right w:val="none" w:sz="0" w:space="0" w:color="auto"/>
          </w:divBdr>
        </w:div>
        <w:div w:id="1683556029">
          <w:marLeft w:val="0"/>
          <w:marRight w:val="0"/>
          <w:marTop w:val="0"/>
          <w:marBottom w:val="0"/>
          <w:divBdr>
            <w:top w:val="none" w:sz="0" w:space="0" w:color="auto"/>
            <w:left w:val="none" w:sz="0" w:space="0" w:color="auto"/>
            <w:bottom w:val="none" w:sz="0" w:space="0" w:color="auto"/>
            <w:right w:val="none" w:sz="0" w:space="0" w:color="auto"/>
          </w:divBdr>
        </w:div>
        <w:div w:id="237910766">
          <w:marLeft w:val="0"/>
          <w:marRight w:val="0"/>
          <w:marTop w:val="0"/>
          <w:marBottom w:val="0"/>
          <w:divBdr>
            <w:top w:val="none" w:sz="0" w:space="0" w:color="auto"/>
            <w:left w:val="none" w:sz="0" w:space="0" w:color="auto"/>
            <w:bottom w:val="none" w:sz="0" w:space="0" w:color="auto"/>
            <w:right w:val="none" w:sz="0" w:space="0" w:color="auto"/>
          </w:divBdr>
        </w:div>
        <w:div w:id="1653754776">
          <w:marLeft w:val="0"/>
          <w:marRight w:val="0"/>
          <w:marTop w:val="0"/>
          <w:marBottom w:val="0"/>
          <w:divBdr>
            <w:top w:val="none" w:sz="0" w:space="0" w:color="auto"/>
            <w:left w:val="none" w:sz="0" w:space="0" w:color="auto"/>
            <w:bottom w:val="none" w:sz="0" w:space="0" w:color="auto"/>
            <w:right w:val="none" w:sz="0" w:space="0" w:color="auto"/>
          </w:divBdr>
        </w:div>
        <w:div w:id="662978026">
          <w:marLeft w:val="0"/>
          <w:marRight w:val="0"/>
          <w:marTop w:val="0"/>
          <w:marBottom w:val="0"/>
          <w:divBdr>
            <w:top w:val="none" w:sz="0" w:space="0" w:color="auto"/>
            <w:left w:val="none" w:sz="0" w:space="0" w:color="auto"/>
            <w:bottom w:val="none" w:sz="0" w:space="0" w:color="auto"/>
            <w:right w:val="none" w:sz="0" w:space="0" w:color="auto"/>
          </w:divBdr>
        </w:div>
        <w:div w:id="1163735882">
          <w:marLeft w:val="0"/>
          <w:marRight w:val="0"/>
          <w:marTop w:val="0"/>
          <w:marBottom w:val="0"/>
          <w:divBdr>
            <w:top w:val="none" w:sz="0" w:space="0" w:color="auto"/>
            <w:left w:val="none" w:sz="0" w:space="0" w:color="auto"/>
            <w:bottom w:val="none" w:sz="0" w:space="0" w:color="auto"/>
            <w:right w:val="none" w:sz="0" w:space="0" w:color="auto"/>
          </w:divBdr>
        </w:div>
        <w:div w:id="1184788440">
          <w:marLeft w:val="0"/>
          <w:marRight w:val="0"/>
          <w:marTop w:val="0"/>
          <w:marBottom w:val="0"/>
          <w:divBdr>
            <w:top w:val="none" w:sz="0" w:space="0" w:color="auto"/>
            <w:left w:val="none" w:sz="0" w:space="0" w:color="auto"/>
            <w:bottom w:val="none" w:sz="0" w:space="0" w:color="auto"/>
            <w:right w:val="none" w:sz="0" w:space="0" w:color="auto"/>
          </w:divBdr>
        </w:div>
        <w:div w:id="1521236963">
          <w:marLeft w:val="0"/>
          <w:marRight w:val="0"/>
          <w:marTop w:val="0"/>
          <w:marBottom w:val="0"/>
          <w:divBdr>
            <w:top w:val="none" w:sz="0" w:space="0" w:color="auto"/>
            <w:left w:val="none" w:sz="0" w:space="0" w:color="auto"/>
            <w:bottom w:val="none" w:sz="0" w:space="0" w:color="auto"/>
            <w:right w:val="none" w:sz="0" w:space="0" w:color="auto"/>
          </w:divBdr>
        </w:div>
        <w:div w:id="93401011">
          <w:marLeft w:val="0"/>
          <w:marRight w:val="0"/>
          <w:marTop w:val="0"/>
          <w:marBottom w:val="0"/>
          <w:divBdr>
            <w:top w:val="none" w:sz="0" w:space="0" w:color="auto"/>
            <w:left w:val="none" w:sz="0" w:space="0" w:color="auto"/>
            <w:bottom w:val="none" w:sz="0" w:space="0" w:color="auto"/>
            <w:right w:val="none" w:sz="0" w:space="0" w:color="auto"/>
          </w:divBdr>
        </w:div>
        <w:div w:id="2062172747">
          <w:marLeft w:val="0"/>
          <w:marRight w:val="0"/>
          <w:marTop w:val="0"/>
          <w:marBottom w:val="0"/>
          <w:divBdr>
            <w:top w:val="none" w:sz="0" w:space="0" w:color="auto"/>
            <w:left w:val="none" w:sz="0" w:space="0" w:color="auto"/>
            <w:bottom w:val="none" w:sz="0" w:space="0" w:color="auto"/>
            <w:right w:val="none" w:sz="0" w:space="0" w:color="auto"/>
          </w:divBdr>
        </w:div>
        <w:div w:id="1566338530">
          <w:marLeft w:val="0"/>
          <w:marRight w:val="0"/>
          <w:marTop w:val="0"/>
          <w:marBottom w:val="0"/>
          <w:divBdr>
            <w:top w:val="none" w:sz="0" w:space="0" w:color="auto"/>
            <w:left w:val="none" w:sz="0" w:space="0" w:color="auto"/>
            <w:bottom w:val="none" w:sz="0" w:space="0" w:color="auto"/>
            <w:right w:val="none" w:sz="0" w:space="0" w:color="auto"/>
          </w:divBdr>
        </w:div>
        <w:div w:id="591737829">
          <w:marLeft w:val="0"/>
          <w:marRight w:val="0"/>
          <w:marTop w:val="0"/>
          <w:marBottom w:val="0"/>
          <w:divBdr>
            <w:top w:val="none" w:sz="0" w:space="0" w:color="auto"/>
            <w:left w:val="none" w:sz="0" w:space="0" w:color="auto"/>
            <w:bottom w:val="none" w:sz="0" w:space="0" w:color="auto"/>
            <w:right w:val="none" w:sz="0" w:space="0" w:color="auto"/>
          </w:divBdr>
        </w:div>
        <w:div w:id="2137285240">
          <w:marLeft w:val="0"/>
          <w:marRight w:val="0"/>
          <w:marTop w:val="0"/>
          <w:marBottom w:val="0"/>
          <w:divBdr>
            <w:top w:val="none" w:sz="0" w:space="0" w:color="auto"/>
            <w:left w:val="none" w:sz="0" w:space="0" w:color="auto"/>
            <w:bottom w:val="none" w:sz="0" w:space="0" w:color="auto"/>
            <w:right w:val="none" w:sz="0" w:space="0" w:color="auto"/>
          </w:divBdr>
        </w:div>
        <w:div w:id="1194928297">
          <w:marLeft w:val="0"/>
          <w:marRight w:val="0"/>
          <w:marTop w:val="0"/>
          <w:marBottom w:val="0"/>
          <w:divBdr>
            <w:top w:val="none" w:sz="0" w:space="0" w:color="auto"/>
            <w:left w:val="none" w:sz="0" w:space="0" w:color="auto"/>
            <w:bottom w:val="none" w:sz="0" w:space="0" w:color="auto"/>
            <w:right w:val="none" w:sz="0" w:space="0" w:color="auto"/>
          </w:divBdr>
        </w:div>
        <w:div w:id="2048141798">
          <w:marLeft w:val="0"/>
          <w:marRight w:val="0"/>
          <w:marTop w:val="0"/>
          <w:marBottom w:val="0"/>
          <w:divBdr>
            <w:top w:val="none" w:sz="0" w:space="0" w:color="auto"/>
            <w:left w:val="none" w:sz="0" w:space="0" w:color="auto"/>
            <w:bottom w:val="none" w:sz="0" w:space="0" w:color="auto"/>
            <w:right w:val="none" w:sz="0" w:space="0" w:color="auto"/>
          </w:divBdr>
        </w:div>
        <w:div w:id="1792016914">
          <w:marLeft w:val="0"/>
          <w:marRight w:val="0"/>
          <w:marTop w:val="0"/>
          <w:marBottom w:val="0"/>
          <w:divBdr>
            <w:top w:val="none" w:sz="0" w:space="0" w:color="auto"/>
            <w:left w:val="none" w:sz="0" w:space="0" w:color="auto"/>
            <w:bottom w:val="none" w:sz="0" w:space="0" w:color="auto"/>
            <w:right w:val="none" w:sz="0" w:space="0" w:color="auto"/>
          </w:divBdr>
        </w:div>
        <w:div w:id="1735814957">
          <w:marLeft w:val="0"/>
          <w:marRight w:val="0"/>
          <w:marTop w:val="0"/>
          <w:marBottom w:val="0"/>
          <w:divBdr>
            <w:top w:val="none" w:sz="0" w:space="0" w:color="auto"/>
            <w:left w:val="none" w:sz="0" w:space="0" w:color="auto"/>
            <w:bottom w:val="none" w:sz="0" w:space="0" w:color="auto"/>
            <w:right w:val="none" w:sz="0" w:space="0" w:color="auto"/>
          </w:divBdr>
        </w:div>
        <w:div w:id="939995612">
          <w:marLeft w:val="0"/>
          <w:marRight w:val="0"/>
          <w:marTop w:val="0"/>
          <w:marBottom w:val="0"/>
          <w:divBdr>
            <w:top w:val="none" w:sz="0" w:space="0" w:color="auto"/>
            <w:left w:val="none" w:sz="0" w:space="0" w:color="auto"/>
            <w:bottom w:val="none" w:sz="0" w:space="0" w:color="auto"/>
            <w:right w:val="none" w:sz="0" w:space="0" w:color="auto"/>
          </w:divBdr>
        </w:div>
        <w:div w:id="1248688135">
          <w:marLeft w:val="0"/>
          <w:marRight w:val="0"/>
          <w:marTop w:val="0"/>
          <w:marBottom w:val="0"/>
          <w:divBdr>
            <w:top w:val="none" w:sz="0" w:space="0" w:color="auto"/>
            <w:left w:val="none" w:sz="0" w:space="0" w:color="auto"/>
            <w:bottom w:val="none" w:sz="0" w:space="0" w:color="auto"/>
            <w:right w:val="none" w:sz="0" w:space="0" w:color="auto"/>
          </w:divBdr>
        </w:div>
        <w:div w:id="1482841457">
          <w:marLeft w:val="0"/>
          <w:marRight w:val="0"/>
          <w:marTop w:val="0"/>
          <w:marBottom w:val="0"/>
          <w:divBdr>
            <w:top w:val="none" w:sz="0" w:space="0" w:color="auto"/>
            <w:left w:val="none" w:sz="0" w:space="0" w:color="auto"/>
            <w:bottom w:val="none" w:sz="0" w:space="0" w:color="auto"/>
            <w:right w:val="none" w:sz="0" w:space="0" w:color="auto"/>
          </w:divBdr>
        </w:div>
        <w:div w:id="1469013743">
          <w:marLeft w:val="0"/>
          <w:marRight w:val="0"/>
          <w:marTop w:val="0"/>
          <w:marBottom w:val="0"/>
          <w:divBdr>
            <w:top w:val="none" w:sz="0" w:space="0" w:color="auto"/>
            <w:left w:val="none" w:sz="0" w:space="0" w:color="auto"/>
            <w:bottom w:val="none" w:sz="0" w:space="0" w:color="auto"/>
            <w:right w:val="none" w:sz="0" w:space="0" w:color="auto"/>
          </w:divBdr>
        </w:div>
        <w:div w:id="445124683">
          <w:marLeft w:val="0"/>
          <w:marRight w:val="0"/>
          <w:marTop w:val="0"/>
          <w:marBottom w:val="0"/>
          <w:divBdr>
            <w:top w:val="none" w:sz="0" w:space="0" w:color="auto"/>
            <w:left w:val="none" w:sz="0" w:space="0" w:color="auto"/>
            <w:bottom w:val="none" w:sz="0" w:space="0" w:color="auto"/>
            <w:right w:val="none" w:sz="0" w:space="0" w:color="auto"/>
          </w:divBdr>
        </w:div>
      </w:divsChild>
    </w:div>
    <w:div w:id="702052445">
      <w:bodyDiv w:val="1"/>
      <w:marLeft w:val="0"/>
      <w:marRight w:val="0"/>
      <w:marTop w:val="0"/>
      <w:marBottom w:val="0"/>
      <w:divBdr>
        <w:top w:val="none" w:sz="0" w:space="0" w:color="auto"/>
        <w:left w:val="none" w:sz="0" w:space="0" w:color="auto"/>
        <w:bottom w:val="none" w:sz="0" w:space="0" w:color="auto"/>
        <w:right w:val="none" w:sz="0" w:space="0" w:color="auto"/>
      </w:divBdr>
      <w:divsChild>
        <w:div w:id="36709206">
          <w:marLeft w:val="0"/>
          <w:marRight w:val="0"/>
          <w:marTop w:val="0"/>
          <w:marBottom w:val="0"/>
          <w:divBdr>
            <w:top w:val="none" w:sz="0" w:space="0" w:color="auto"/>
            <w:left w:val="none" w:sz="0" w:space="0" w:color="auto"/>
            <w:bottom w:val="none" w:sz="0" w:space="0" w:color="auto"/>
            <w:right w:val="none" w:sz="0" w:space="0" w:color="auto"/>
          </w:divBdr>
        </w:div>
        <w:div w:id="666135181">
          <w:marLeft w:val="0"/>
          <w:marRight w:val="0"/>
          <w:marTop w:val="0"/>
          <w:marBottom w:val="0"/>
          <w:divBdr>
            <w:top w:val="none" w:sz="0" w:space="0" w:color="auto"/>
            <w:left w:val="none" w:sz="0" w:space="0" w:color="auto"/>
            <w:bottom w:val="none" w:sz="0" w:space="0" w:color="auto"/>
            <w:right w:val="none" w:sz="0" w:space="0" w:color="auto"/>
          </w:divBdr>
        </w:div>
        <w:div w:id="1045299808">
          <w:marLeft w:val="0"/>
          <w:marRight w:val="0"/>
          <w:marTop w:val="0"/>
          <w:marBottom w:val="0"/>
          <w:divBdr>
            <w:top w:val="none" w:sz="0" w:space="0" w:color="auto"/>
            <w:left w:val="none" w:sz="0" w:space="0" w:color="auto"/>
            <w:bottom w:val="none" w:sz="0" w:space="0" w:color="auto"/>
            <w:right w:val="none" w:sz="0" w:space="0" w:color="auto"/>
          </w:divBdr>
        </w:div>
        <w:div w:id="922756917">
          <w:marLeft w:val="0"/>
          <w:marRight w:val="0"/>
          <w:marTop w:val="0"/>
          <w:marBottom w:val="0"/>
          <w:divBdr>
            <w:top w:val="none" w:sz="0" w:space="0" w:color="auto"/>
            <w:left w:val="none" w:sz="0" w:space="0" w:color="auto"/>
            <w:bottom w:val="none" w:sz="0" w:space="0" w:color="auto"/>
            <w:right w:val="none" w:sz="0" w:space="0" w:color="auto"/>
          </w:divBdr>
        </w:div>
        <w:div w:id="945120036">
          <w:marLeft w:val="0"/>
          <w:marRight w:val="0"/>
          <w:marTop w:val="0"/>
          <w:marBottom w:val="0"/>
          <w:divBdr>
            <w:top w:val="none" w:sz="0" w:space="0" w:color="auto"/>
            <w:left w:val="none" w:sz="0" w:space="0" w:color="auto"/>
            <w:bottom w:val="none" w:sz="0" w:space="0" w:color="auto"/>
            <w:right w:val="none" w:sz="0" w:space="0" w:color="auto"/>
          </w:divBdr>
        </w:div>
        <w:div w:id="1916278246">
          <w:marLeft w:val="0"/>
          <w:marRight w:val="0"/>
          <w:marTop w:val="0"/>
          <w:marBottom w:val="0"/>
          <w:divBdr>
            <w:top w:val="none" w:sz="0" w:space="0" w:color="auto"/>
            <w:left w:val="none" w:sz="0" w:space="0" w:color="auto"/>
            <w:bottom w:val="none" w:sz="0" w:space="0" w:color="auto"/>
            <w:right w:val="none" w:sz="0" w:space="0" w:color="auto"/>
          </w:divBdr>
        </w:div>
        <w:div w:id="503253131">
          <w:marLeft w:val="0"/>
          <w:marRight w:val="0"/>
          <w:marTop w:val="0"/>
          <w:marBottom w:val="0"/>
          <w:divBdr>
            <w:top w:val="none" w:sz="0" w:space="0" w:color="auto"/>
            <w:left w:val="none" w:sz="0" w:space="0" w:color="auto"/>
            <w:bottom w:val="none" w:sz="0" w:space="0" w:color="auto"/>
            <w:right w:val="none" w:sz="0" w:space="0" w:color="auto"/>
          </w:divBdr>
        </w:div>
        <w:div w:id="1311638478">
          <w:marLeft w:val="0"/>
          <w:marRight w:val="0"/>
          <w:marTop w:val="0"/>
          <w:marBottom w:val="0"/>
          <w:divBdr>
            <w:top w:val="none" w:sz="0" w:space="0" w:color="auto"/>
            <w:left w:val="none" w:sz="0" w:space="0" w:color="auto"/>
            <w:bottom w:val="none" w:sz="0" w:space="0" w:color="auto"/>
            <w:right w:val="none" w:sz="0" w:space="0" w:color="auto"/>
          </w:divBdr>
        </w:div>
        <w:div w:id="1934044342">
          <w:marLeft w:val="0"/>
          <w:marRight w:val="0"/>
          <w:marTop w:val="0"/>
          <w:marBottom w:val="0"/>
          <w:divBdr>
            <w:top w:val="none" w:sz="0" w:space="0" w:color="auto"/>
            <w:left w:val="none" w:sz="0" w:space="0" w:color="auto"/>
            <w:bottom w:val="none" w:sz="0" w:space="0" w:color="auto"/>
            <w:right w:val="none" w:sz="0" w:space="0" w:color="auto"/>
          </w:divBdr>
        </w:div>
        <w:div w:id="1182550145">
          <w:marLeft w:val="0"/>
          <w:marRight w:val="0"/>
          <w:marTop w:val="0"/>
          <w:marBottom w:val="0"/>
          <w:divBdr>
            <w:top w:val="none" w:sz="0" w:space="0" w:color="auto"/>
            <w:left w:val="none" w:sz="0" w:space="0" w:color="auto"/>
            <w:bottom w:val="none" w:sz="0" w:space="0" w:color="auto"/>
            <w:right w:val="none" w:sz="0" w:space="0" w:color="auto"/>
          </w:divBdr>
        </w:div>
        <w:div w:id="761414887">
          <w:marLeft w:val="0"/>
          <w:marRight w:val="0"/>
          <w:marTop w:val="0"/>
          <w:marBottom w:val="0"/>
          <w:divBdr>
            <w:top w:val="none" w:sz="0" w:space="0" w:color="auto"/>
            <w:left w:val="none" w:sz="0" w:space="0" w:color="auto"/>
            <w:bottom w:val="none" w:sz="0" w:space="0" w:color="auto"/>
            <w:right w:val="none" w:sz="0" w:space="0" w:color="auto"/>
          </w:divBdr>
        </w:div>
        <w:div w:id="1697273663">
          <w:marLeft w:val="0"/>
          <w:marRight w:val="0"/>
          <w:marTop w:val="0"/>
          <w:marBottom w:val="0"/>
          <w:divBdr>
            <w:top w:val="none" w:sz="0" w:space="0" w:color="auto"/>
            <w:left w:val="none" w:sz="0" w:space="0" w:color="auto"/>
            <w:bottom w:val="none" w:sz="0" w:space="0" w:color="auto"/>
            <w:right w:val="none" w:sz="0" w:space="0" w:color="auto"/>
          </w:divBdr>
        </w:div>
        <w:div w:id="508375738">
          <w:marLeft w:val="0"/>
          <w:marRight w:val="0"/>
          <w:marTop w:val="0"/>
          <w:marBottom w:val="0"/>
          <w:divBdr>
            <w:top w:val="none" w:sz="0" w:space="0" w:color="auto"/>
            <w:left w:val="none" w:sz="0" w:space="0" w:color="auto"/>
            <w:bottom w:val="none" w:sz="0" w:space="0" w:color="auto"/>
            <w:right w:val="none" w:sz="0" w:space="0" w:color="auto"/>
          </w:divBdr>
        </w:div>
        <w:div w:id="776680972">
          <w:marLeft w:val="0"/>
          <w:marRight w:val="0"/>
          <w:marTop w:val="0"/>
          <w:marBottom w:val="0"/>
          <w:divBdr>
            <w:top w:val="none" w:sz="0" w:space="0" w:color="auto"/>
            <w:left w:val="none" w:sz="0" w:space="0" w:color="auto"/>
            <w:bottom w:val="none" w:sz="0" w:space="0" w:color="auto"/>
            <w:right w:val="none" w:sz="0" w:space="0" w:color="auto"/>
          </w:divBdr>
        </w:div>
        <w:div w:id="258106968">
          <w:marLeft w:val="0"/>
          <w:marRight w:val="0"/>
          <w:marTop w:val="0"/>
          <w:marBottom w:val="0"/>
          <w:divBdr>
            <w:top w:val="none" w:sz="0" w:space="0" w:color="auto"/>
            <w:left w:val="none" w:sz="0" w:space="0" w:color="auto"/>
            <w:bottom w:val="none" w:sz="0" w:space="0" w:color="auto"/>
            <w:right w:val="none" w:sz="0" w:space="0" w:color="auto"/>
          </w:divBdr>
        </w:div>
        <w:div w:id="1535998096">
          <w:marLeft w:val="0"/>
          <w:marRight w:val="0"/>
          <w:marTop w:val="0"/>
          <w:marBottom w:val="0"/>
          <w:divBdr>
            <w:top w:val="none" w:sz="0" w:space="0" w:color="auto"/>
            <w:left w:val="none" w:sz="0" w:space="0" w:color="auto"/>
            <w:bottom w:val="none" w:sz="0" w:space="0" w:color="auto"/>
            <w:right w:val="none" w:sz="0" w:space="0" w:color="auto"/>
          </w:divBdr>
        </w:div>
        <w:div w:id="1602837977">
          <w:marLeft w:val="0"/>
          <w:marRight w:val="0"/>
          <w:marTop w:val="0"/>
          <w:marBottom w:val="0"/>
          <w:divBdr>
            <w:top w:val="none" w:sz="0" w:space="0" w:color="auto"/>
            <w:left w:val="none" w:sz="0" w:space="0" w:color="auto"/>
            <w:bottom w:val="none" w:sz="0" w:space="0" w:color="auto"/>
            <w:right w:val="none" w:sz="0" w:space="0" w:color="auto"/>
          </w:divBdr>
        </w:div>
        <w:div w:id="1684554424">
          <w:marLeft w:val="0"/>
          <w:marRight w:val="0"/>
          <w:marTop w:val="0"/>
          <w:marBottom w:val="0"/>
          <w:divBdr>
            <w:top w:val="none" w:sz="0" w:space="0" w:color="auto"/>
            <w:left w:val="none" w:sz="0" w:space="0" w:color="auto"/>
            <w:bottom w:val="none" w:sz="0" w:space="0" w:color="auto"/>
            <w:right w:val="none" w:sz="0" w:space="0" w:color="auto"/>
          </w:divBdr>
        </w:div>
        <w:div w:id="794253222">
          <w:marLeft w:val="0"/>
          <w:marRight w:val="0"/>
          <w:marTop w:val="0"/>
          <w:marBottom w:val="0"/>
          <w:divBdr>
            <w:top w:val="none" w:sz="0" w:space="0" w:color="auto"/>
            <w:left w:val="none" w:sz="0" w:space="0" w:color="auto"/>
            <w:bottom w:val="none" w:sz="0" w:space="0" w:color="auto"/>
            <w:right w:val="none" w:sz="0" w:space="0" w:color="auto"/>
          </w:divBdr>
        </w:div>
        <w:div w:id="729888165">
          <w:marLeft w:val="0"/>
          <w:marRight w:val="0"/>
          <w:marTop w:val="0"/>
          <w:marBottom w:val="0"/>
          <w:divBdr>
            <w:top w:val="none" w:sz="0" w:space="0" w:color="auto"/>
            <w:left w:val="none" w:sz="0" w:space="0" w:color="auto"/>
            <w:bottom w:val="none" w:sz="0" w:space="0" w:color="auto"/>
            <w:right w:val="none" w:sz="0" w:space="0" w:color="auto"/>
          </w:divBdr>
        </w:div>
        <w:div w:id="501940805">
          <w:marLeft w:val="0"/>
          <w:marRight w:val="0"/>
          <w:marTop w:val="0"/>
          <w:marBottom w:val="0"/>
          <w:divBdr>
            <w:top w:val="none" w:sz="0" w:space="0" w:color="auto"/>
            <w:left w:val="none" w:sz="0" w:space="0" w:color="auto"/>
            <w:bottom w:val="none" w:sz="0" w:space="0" w:color="auto"/>
            <w:right w:val="none" w:sz="0" w:space="0" w:color="auto"/>
          </w:divBdr>
        </w:div>
        <w:div w:id="383405980">
          <w:marLeft w:val="0"/>
          <w:marRight w:val="0"/>
          <w:marTop w:val="0"/>
          <w:marBottom w:val="0"/>
          <w:divBdr>
            <w:top w:val="none" w:sz="0" w:space="0" w:color="auto"/>
            <w:left w:val="none" w:sz="0" w:space="0" w:color="auto"/>
            <w:bottom w:val="none" w:sz="0" w:space="0" w:color="auto"/>
            <w:right w:val="none" w:sz="0" w:space="0" w:color="auto"/>
          </w:divBdr>
        </w:div>
        <w:div w:id="652025787">
          <w:marLeft w:val="0"/>
          <w:marRight w:val="0"/>
          <w:marTop w:val="0"/>
          <w:marBottom w:val="0"/>
          <w:divBdr>
            <w:top w:val="none" w:sz="0" w:space="0" w:color="auto"/>
            <w:left w:val="none" w:sz="0" w:space="0" w:color="auto"/>
            <w:bottom w:val="none" w:sz="0" w:space="0" w:color="auto"/>
            <w:right w:val="none" w:sz="0" w:space="0" w:color="auto"/>
          </w:divBdr>
        </w:div>
        <w:div w:id="1656760559">
          <w:marLeft w:val="0"/>
          <w:marRight w:val="0"/>
          <w:marTop w:val="0"/>
          <w:marBottom w:val="0"/>
          <w:divBdr>
            <w:top w:val="none" w:sz="0" w:space="0" w:color="auto"/>
            <w:left w:val="none" w:sz="0" w:space="0" w:color="auto"/>
            <w:bottom w:val="none" w:sz="0" w:space="0" w:color="auto"/>
            <w:right w:val="none" w:sz="0" w:space="0" w:color="auto"/>
          </w:divBdr>
        </w:div>
        <w:div w:id="1591238639">
          <w:marLeft w:val="0"/>
          <w:marRight w:val="0"/>
          <w:marTop w:val="0"/>
          <w:marBottom w:val="0"/>
          <w:divBdr>
            <w:top w:val="none" w:sz="0" w:space="0" w:color="auto"/>
            <w:left w:val="none" w:sz="0" w:space="0" w:color="auto"/>
            <w:bottom w:val="none" w:sz="0" w:space="0" w:color="auto"/>
            <w:right w:val="none" w:sz="0" w:space="0" w:color="auto"/>
          </w:divBdr>
        </w:div>
        <w:div w:id="178353062">
          <w:marLeft w:val="0"/>
          <w:marRight w:val="0"/>
          <w:marTop w:val="0"/>
          <w:marBottom w:val="0"/>
          <w:divBdr>
            <w:top w:val="none" w:sz="0" w:space="0" w:color="auto"/>
            <w:left w:val="none" w:sz="0" w:space="0" w:color="auto"/>
            <w:bottom w:val="none" w:sz="0" w:space="0" w:color="auto"/>
            <w:right w:val="none" w:sz="0" w:space="0" w:color="auto"/>
          </w:divBdr>
        </w:div>
        <w:div w:id="1384407509">
          <w:marLeft w:val="0"/>
          <w:marRight w:val="0"/>
          <w:marTop w:val="0"/>
          <w:marBottom w:val="0"/>
          <w:divBdr>
            <w:top w:val="none" w:sz="0" w:space="0" w:color="auto"/>
            <w:left w:val="none" w:sz="0" w:space="0" w:color="auto"/>
            <w:bottom w:val="none" w:sz="0" w:space="0" w:color="auto"/>
            <w:right w:val="none" w:sz="0" w:space="0" w:color="auto"/>
          </w:divBdr>
        </w:div>
        <w:div w:id="1481120052">
          <w:marLeft w:val="0"/>
          <w:marRight w:val="0"/>
          <w:marTop w:val="0"/>
          <w:marBottom w:val="0"/>
          <w:divBdr>
            <w:top w:val="none" w:sz="0" w:space="0" w:color="auto"/>
            <w:left w:val="none" w:sz="0" w:space="0" w:color="auto"/>
            <w:bottom w:val="none" w:sz="0" w:space="0" w:color="auto"/>
            <w:right w:val="none" w:sz="0" w:space="0" w:color="auto"/>
          </w:divBdr>
        </w:div>
        <w:div w:id="1692949327">
          <w:marLeft w:val="0"/>
          <w:marRight w:val="0"/>
          <w:marTop w:val="0"/>
          <w:marBottom w:val="0"/>
          <w:divBdr>
            <w:top w:val="none" w:sz="0" w:space="0" w:color="auto"/>
            <w:left w:val="none" w:sz="0" w:space="0" w:color="auto"/>
            <w:bottom w:val="none" w:sz="0" w:space="0" w:color="auto"/>
            <w:right w:val="none" w:sz="0" w:space="0" w:color="auto"/>
          </w:divBdr>
        </w:div>
        <w:div w:id="2017658523">
          <w:marLeft w:val="0"/>
          <w:marRight w:val="0"/>
          <w:marTop w:val="0"/>
          <w:marBottom w:val="0"/>
          <w:divBdr>
            <w:top w:val="none" w:sz="0" w:space="0" w:color="auto"/>
            <w:left w:val="none" w:sz="0" w:space="0" w:color="auto"/>
            <w:bottom w:val="none" w:sz="0" w:space="0" w:color="auto"/>
            <w:right w:val="none" w:sz="0" w:space="0" w:color="auto"/>
          </w:divBdr>
        </w:div>
        <w:div w:id="1741556765">
          <w:marLeft w:val="0"/>
          <w:marRight w:val="0"/>
          <w:marTop w:val="0"/>
          <w:marBottom w:val="0"/>
          <w:divBdr>
            <w:top w:val="none" w:sz="0" w:space="0" w:color="auto"/>
            <w:left w:val="none" w:sz="0" w:space="0" w:color="auto"/>
            <w:bottom w:val="none" w:sz="0" w:space="0" w:color="auto"/>
            <w:right w:val="none" w:sz="0" w:space="0" w:color="auto"/>
          </w:divBdr>
        </w:div>
        <w:div w:id="1347437894">
          <w:marLeft w:val="0"/>
          <w:marRight w:val="0"/>
          <w:marTop w:val="0"/>
          <w:marBottom w:val="0"/>
          <w:divBdr>
            <w:top w:val="none" w:sz="0" w:space="0" w:color="auto"/>
            <w:left w:val="none" w:sz="0" w:space="0" w:color="auto"/>
            <w:bottom w:val="none" w:sz="0" w:space="0" w:color="auto"/>
            <w:right w:val="none" w:sz="0" w:space="0" w:color="auto"/>
          </w:divBdr>
        </w:div>
        <w:div w:id="706099354">
          <w:marLeft w:val="0"/>
          <w:marRight w:val="0"/>
          <w:marTop w:val="0"/>
          <w:marBottom w:val="0"/>
          <w:divBdr>
            <w:top w:val="none" w:sz="0" w:space="0" w:color="auto"/>
            <w:left w:val="none" w:sz="0" w:space="0" w:color="auto"/>
            <w:bottom w:val="none" w:sz="0" w:space="0" w:color="auto"/>
            <w:right w:val="none" w:sz="0" w:space="0" w:color="auto"/>
          </w:divBdr>
        </w:div>
        <w:div w:id="42484209">
          <w:marLeft w:val="0"/>
          <w:marRight w:val="0"/>
          <w:marTop w:val="0"/>
          <w:marBottom w:val="0"/>
          <w:divBdr>
            <w:top w:val="none" w:sz="0" w:space="0" w:color="auto"/>
            <w:left w:val="none" w:sz="0" w:space="0" w:color="auto"/>
            <w:bottom w:val="none" w:sz="0" w:space="0" w:color="auto"/>
            <w:right w:val="none" w:sz="0" w:space="0" w:color="auto"/>
          </w:divBdr>
        </w:div>
        <w:div w:id="1538346640">
          <w:marLeft w:val="0"/>
          <w:marRight w:val="0"/>
          <w:marTop w:val="0"/>
          <w:marBottom w:val="0"/>
          <w:divBdr>
            <w:top w:val="none" w:sz="0" w:space="0" w:color="auto"/>
            <w:left w:val="none" w:sz="0" w:space="0" w:color="auto"/>
            <w:bottom w:val="none" w:sz="0" w:space="0" w:color="auto"/>
            <w:right w:val="none" w:sz="0" w:space="0" w:color="auto"/>
          </w:divBdr>
        </w:div>
        <w:div w:id="422536759">
          <w:marLeft w:val="0"/>
          <w:marRight w:val="0"/>
          <w:marTop w:val="0"/>
          <w:marBottom w:val="0"/>
          <w:divBdr>
            <w:top w:val="none" w:sz="0" w:space="0" w:color="auto"/>
            <w:left w:val="none" w:sz="0" w:space="0" w:color="auto"/>
            <w:bottom w:val="none" w:sz="0" w:space="0" w:color="auto"/>
            <w:right w:val="none" w:sz="0" w:space="0" w:color="auto"/>
          </w:divBdr>
        </w:div>
        <w:div w:id="1631325259">
          <w:marLeft w:val="0"/>
          <w:marRight w:val="0"/>
          <w:marTop w:val="0"/>
          <w:marBottom w:val="0"/>
          <w:divBdr>
            <w:top w:val="none" w:sz="0" w:space="0" w:color="auto"/>
            <w:left w:val="none" w:sz="0" w:space="0" w:color="auto"/>
            <w:bottom w:val="none" w:sz="0" w:space="0" w:color="auto"/>
            <w:right w:val="none" w:sz="0" w:space="0" w:color="auto"/>
          </w:divBdr>
        </w:div>
        <w:div w:id="340282108">
          <w:marLeft w:val="0"/>
          <w:marRight w:val="0"/>
          <w:marTop w:val="0"/>
          <w:marBottom w:val="0"/>
          <w:divBdr>
            <w:top w:val="none" w:sz="0" w:space="0" w:color="auto"/>
            <w:left w:val="none" w:sz="0" w:space="0" w:color="auto"/>
            <w:bottom w:val="none" w:sz="0" w:space="0" w:color="auto"/>
            <w:right w:val="none" w:sz="0" w:space="0" w:color="auto"/>
          </w:divBdr>
        </w:div>
        <w:div w:id="907303684">
          <w:marLeft w:val="0"/>
          <w:marRight w:val="0"/>
          <w:marTop w:val="0"/>
          <w:marBottom w:val="0"/>
          <w:divBdr>
            <w:top w:val="none" w:sz="0" w:space="0" w:color="auto"/>
            <w:left w:val="none" w:sz="0" w:space="0" w:color="auto"/>
            <w:bottom w:val="none" w:sz="0" w:space="0" w:color="auto"/>
            <w:right w:val="none" w:sz="0" w:space="0" w:color="auto"/>
          </w:divBdr>
        </w:div>
        <w:div w:id="1314025215">
          <w:marLeft w:val="0"/>
          <w:marRight w:val="0"/>
          <w:marTop w:val="0"/>
          <w:marBottom w:val="0"/>
          <w:divBdr>
            <w:top w:val="none" w:sz="0" w:space="0" w:color="auto"/>
            <w:left w:val="none" w:sz="0" w:space="0" w:color="auto"/>
            <w:bottom w:val="none" w:sz="0" w:space="0" w:color="auto"/>
            <w:right w:val="none" w:sz="0" w:space="0" w:color="auto"/>
          </w:divBdr>
        </w:div>
        <w:div w:id="1756247330">
          <w:marLeft w:val="0"/>
          <w:marRight w:val="0"/>
          <w:marTop w:val="0"/>
          <w:marBottom w:val="0"/>
          <w:divBdr>
            <w:top w:val="none" w:sz="0" w:space="0" w:color="auto"/>
            <w:left w:val="none" w:sz="0" w:space="0" w:color="auto"/>
            <w:bottom w:val="none" w:sz="0" w:space="0" w:color="auto"/>
            <w:right w:val="none" w:sz="0" w:space="0" w:color="auto"/>
          </w:divBdr>
        </w:div>
        <w:div w:id="1729835310">
          <w:marLeft w:val="0"/>
          <w:marRight w:val="0"/>
          <w:marTop w:val="0"/>
          <w:marBottom w:val="0"/>
          <w:divBdr>
            <w:top w:val="none" w:sz="0" w:space="0" w:color="auto"/>
            <w:left w:val="none" w:sz="0" w:space="0" w:color="auto"/>
            <w:bottom w:val="none" w:sz="0" w:space="0" w:color="auto"/>
            <w:right w:val="none" w:sz="0" w:space="0" w:color="auto"/>
          </w:divBdr>
        </w:div>
        <w:div w:id="1041242574">
          <w:marLeft w:val="0"/>
          <w:marRight w:val="0"/>
          <w:marTop w:val="0"/>
          <w:marBottom w:val="0"/>
          <w:divBdr>
            <w:top w:val="none" w:sz="0" w:space="0" w:color="auto"/>
            <w:left w:val="none" w:sz="0" w:space="0" w:color="auto"/>
            <w:bottom w:val="none" w:sz="0" w:space="0" w:color="auto"/>
            <w:right w:val="none" w:sz="0" w:space="0" w:color="auto"/>
          </w:divBdr>
        </w:div>
        <w:div w:id="2111536392">
          <w:marLeft w:val="0"/>
          <w:marRight w:val="0"/>
          <w:marTop w:val="0"/>
          <w:marBottom w:val="0"/>
          <w:divBdr>
            <w:top w:val="none" w:sz="0" w:space="0" w:color="auto"/>
            <w:left w:val="none" w:sz="0" w:space="0" w:color="auto"/>
            <w:bottom w:val="none" w:sz="0" w:space="0" w:color="auto"/>
            <w:right w:val="none" w:sz="0" w:space="0" w:color="auto"/>
          </w:divBdr>
        </w:div>
        <w:div w:id="1439255118">
          <w:marLeft w:val="0"/>
          <w:marRight w:val="0"/>
          <w:marTop w:val="0"/>
          <w:marBottom w:val="0"/>
          <w:divBdr>
            <w:top w:val="none" w:sz="0" w:space="0" w:color="auto"/>
            <w:left w:val="none" w:sz="0" w:space="0" w:color="auto"/>
            <w:bottom w:val="none" w:sz="0" w:space="0" w:color="auto"/>
            <w:right w:val="none" w:sz="0" w:space="0" w:color="auto"/>
          </w:divBdr>
        </w:div>
        <w:div w:id="879173834">
          <w:marLeft w:val="0"/>
          <w:marRight w:val="0"/>
          <w:marTop w:val="0"/>
          <w:marBottom w:val="0"/>
          <w:divBdr>
            <w:top w:val="none" w:sz="0" w:space="0" w:color="auto"/>
            <w:left w:val="none" w:sz="0" w:space="0" w:color="auto"/>
            <w:bottom w:val="none" w:sz="0" w:space="0" w:color="auto"/>
            <w:right w:val="none" w:sz="0" w:space="0" w:color="auto"/>
          </w:divBdr>
        </w:div>
        <w:div w:id="2049405011">
          <w:marLeft w:val="0"/>
          <w:marRight w:val="0"/>
          <w:marTop w:val="0"/>
          <w:marBottom w:val="0"/>
          <w:divBdr>
            <w:top w:val="none" w:sz="0" w:space="0" w:color="auto"/>
            <w:left w:val="none" w:sz="0" w:space="0" w:color="auto"/>
            <w:bottom w:val="none" w:sz="0" w:space="0" w:color="auto"/>
            <w:right w:val="none" w:sz="0" w:space="0" w:color="auto"/>
          </w:divBdr>
        </w:div>
        <w:div w:id="1121266941">
          <w:marLeft w:val="0"/>
          <w:marRight w:val="0"/>
          <w:marTop w:val="0"/>
          <w:marBottom w:val="0"/>
          <w:divBdr>
            <w:top w:val="none" w:sz="0" w:space="0" w:color="auto"/>
            <w:left w:val="none" w:sz="0" w:space="0" w:color="auto"/>
            <w:bottom w:val="none" w:sz="0" w:space="0" w:color="auto"/>
            <w:right w:val="none" w:sz="0" w:space="0" w:color="auto"/>
          </w:divBdr>
        </w:div>
        <w:div w:id="1835102141">
          <w:marLeft w:val="0"/>
          <w:marRight w:val="0"/>
          <w:marTop w:val="0"/>
          <w:marBottom w:val="0"/>
          <w:divBdr>
            <w:top w:val="none" w:sz="0" w:space="0" w:color="auto"/>
            <w:left w:val="none" w:sz="0" w:space="0" w:color="auto"/>
            <w:bottom w:val="none" w:sz="0" w:space="0" w:color="auto"/>
            <w:right w:val="none" w:sz="0" w:space="0" w:color="auto"/>
          </w:divBdr>
        </w:div>
        <w:div w:id="1492718866">
          <w:marLeft w:val="0"/>
          <w:marRight w:val="0"/>
          <w:marTop w:val="0"/>
          <w:marBottom w:val="0"/>
          <w:divBdr>
            <w:top w:val="none" w:sz="0" w:space="0" w:color="auto"/>
            <w:left w:val="none" w:sz="0" w:space="0" w:color="auto"/>
            <w:bottom w:val="none" w:sz="0" w:space="0" w:color="auto"/>
            <w:right w:val="none" w:sz="0" w:space="0" w:color="auto"/>
          </w:divBdr>
        </w:div>
        <w:div w:id="1679237364">
          <w:marLeft w:val="0"/>
          <w:marRight w:val="0"/>
          <w:marTop w:val="0"/>
          <w:marBottom w:val="0"/>
          <w:divBdr>
            <w:top w:val="none" w:sz="0" w:space="0" w:color="auto"/>
            <w:left w:val="none" w:sz="0" w:space="0" w:color="auto"/>
            <w:bottom w:val="none" w:sz="0" w:space="0" w:color="auto"/>
            <w:right w:val="none" w:sz="0" w:space="0" w:color="auto"/>
          </w:divBdr>
        </w:div>
        <w:div w:id="1176073010">
          <w:marLeft w:val="0"/>
          <w:marRight w:val="0"/>
          <w:marTop w:val="0"/>
          <w:marBottom w:val="0"/>
          <w:divBdr>
            <w:top w:val="none" w:sz="0" w:space="0" w:color="auto"/>
            <w:left w:val="none" w:sz="0" w:space="0" w:color="auto"/>
            <w:bottom w:val="none" w:sz="0" w:space="0" w:color="auto"/>
            <w:right w:val="none" w:sz="0" w:space="0" w:color="auto"/>
          </w:divBdr>
        </w:div>
        <w:div w:id="2048990064">
          <w:marLeft w:val="0"/>
          <w:marRight w:val="0"/>
          <w:marTop w:val="0"/>
          <w:marBottom w:val="0"/>
          <w:divBdr>
            <w:top w:val="none" w:sz="0" w:space="0" w:color="auto"/>
            <w:left w:val="none" w:sz="0" w:space="0" w:color="auto"/>
            <w:bottom w:val="none" w:sz="0" w:space="0" w:color="auto"/>
            <w:right w:val="none" w:sz="0" w:space="0" w:color="auto"/>
          </w:divBdr>
        </w:div>
      </w:divsChild>
    </w:div>
    <w:div w:id="736436607">
      <w:bodyDiv w:val="1"/>
      <w:marLeft w:val="0"/>
      <w:marRight w:val="0"/>
      <w:marTop w:val="0"/>
      <w:marBottom w:val="0"/>
      <w:divBdr>
        <w:top w:val="none" w:sz="0" w:space="0" w:color="auto"/>
        <w:left w:val="none" w:sz="0" w:space="0" w:color="auto"/>
        <w:bottom w:val="none" w:sz="0" w:space="0" w:color="auto"/>
        <w:right w:val="none" w:sz="0" w:space="0" w:color="auto"/>
      </w:divBdr>
      <w:divsChild>
        <w:div w:id="2106681757">
          <w:marLeft w:val="0"/>
          <w:marRight w:val="0"/>
          <w:marTop w:val="0"/>
          <w:marBottom w:val="0"/>
          <w:divBdr>
            <w:top w:val="none" w:sz="0" w:space="0" w:color="auto"/>
            <w:left w:val="none" w:sz="0" w:space="0" w:color="auto"/>
            <w:bottom w:val="none" w:sz="0" w:space="0" w:color="auto"/>
            <w:right w:val="none" w:sz="0" w:space="0" w:color="auto"/>
          </w:divBdr>
        </w:div>
        <w:div w:id="1192649560">
          <w:marLeft w:val="0"/>
          <w:marRight w:val="0"/>
          <w:marTop w:val="0"/>
          <w:marBottom w:val="0"/>
          <w:divBdr>
            <w:top w:val="none" w:sz="0" w:space="0" w:color="auto"/>
            <w:left w:val="none" w:sz="0" w:space="0" w:color="auto"/>
            <w:bottom w:val="none" w:sz="0" w:space="0" w:color="auto"/>
            <w:right w:val="none" w:sz="0" w:space="0" w:color="auto"/>
          </w:divBdr>
        </w:div>
        <w:div w:id="1039862959">
          <w:marLeft w:val="0"/>
          <w:marRight w:val="0"/>
          <w:marTop w:val="0"/>
          <w:marBottom w:val="0"/>
          <w:divBdr>
            <w:top w:val="none" w:sz="0" w:space="0" w:color="auto"/>
            <w:left w:val="none" w:sz="0" w:space="0" w:color="auto"/>
            <w:bottom w:val="none" w:sz="0" w:space="0" w:color="auto"/>
            <w:right w:val="none" w:sz="0" w:space="0" w:color="auto"/>
          </w:divBdr>
        </w:div>
        <w:div w:id="550118667">
          <w:marLeft w:val="0"/>
          <w:marRight w:val="0"/>
          <w:marTop w:val="0"/>
          <w:marBottom w:val="0"/>
          <w:divBdr>
            <w:top w:val="none" w:sz="0" w:space="0" w:color="auto"/>
            <w:left w:val="none" w:sz="0" w:space="0" w:color="auto"/>
            <w:bottom w:val="none" w:sz="0" w:space="0" w:color="auto"/>
            <w:right w:val="none" w:sz="0" w:space="0" w:color="auto"/>
          </w:divBdr>
        </w:div>
        <w:div w:id="936673150">
          <w:marLeft w:val="0"/>
          <w:marRight w:val="0"/>
          <w:marTop w:val="0"/>
          <w:marBottom w:val="0"/>
          <w:divBdr>
            <w:top w:val="none" w:sz="0" w:space="0" w:color="auto"/>
            <w:left w:val="none" w:sz="0" w:space="0" w:color="auto"/>
            <w:bottom w:val="none" w:sz="0" w:space="0" w:color="auto"/>
            <w:right w:val="none" w:sz="0" w:space="0" w:color="auto"/>
          </w:divBdr>
        </w:div>
        <w:div w:id="695424180">
          <w:marLeft w:val="0"/>
          <w:marRight w:val="0"/>
          <w:marTop w:val="0"/>
          <w:marBottom w:val="0"/>
          <w:divBdr>
            <w:top w:val="none" w:sz="0" w:space="0" w:color="auto"/>
            <w:left w:val="none" w:sz="0" w:space="0" w:color="auto"/>
            <w:bottom w:val="none" w:sz="0" w:space="0" w:color="auto"/>
            <w:right w:val="none" w:sz="0" w:space="0" w:color="auto"/>
          </w:divBdr>
        </w:div>
        <w:div w:id="501094375">
          <w:marLeft w:val="0"/>
          <w:marRight w:val="0"/>
          <w:marTop w:val="0"/>
          <w:marBottom w:val="0"/>
          <w:divBdr>
            <w:top w:val="none" w:sz="0" w:space="0" w:color="auto"/>
            <w:left w:val="none" w:sz="0" w:space="0" w:color="auto"/>
            <w:bottom w:val="none" w:sz="0" w:space="0" w:color="auto"/>
            <w:right w:val="none" w:sz="0" w:space="0" w:color="auto"/>
          </w:divBdr>
        </w:div>
        <w:div w:id="146215848">
          <w:marLeft w:val="0"/>
          <w:marRight w:val="0"/>
          <w:marTop w:val="0"/>
          <w:marBottom w:val="0"/>
          <w:divBdr>
            <w:top w:val="none" w:sz="0" w:space="0" w:color="auto"/>
            <w:left w:val="none" w:sz="0" w:space="0" w:color="auto"/>
            <w:bottom w:val="none" w:sz="0" w:space="0" w:color="auto"/>
            <w:right w:val="none" w:sz="0" w:space="0" w:color="auto"/>
          </w:divBdr>
        </w:div>
        <w:div w:id="760956057">
          <w:marLeft w:val="0"/>
          <w:marRight w:val="0"/>
          <w:marTop w:val="0"/>
          <w:marBottom w:val="0"/>
          <w:divBdr>
            <w:top w:val="none" w:sz="0" w:space="0" w:color="auto"/>
            <w:left w:val="none" w:sz="0" w:space="0" w:color="auto"/>
            <w:bottom w:val="none" w:sz="0" w:space="0" w:color="auto"/>
            <w:right w:val="none" w:sz="0" w:space="0" w:color="auto"/>
          </w:divBdr>
        </w:div>
        <w:div w:id="747767370">
          <w:marLeft w:val="0"/>
          <w:marRight w:val="0"/>
          <w:marTop w:val="0"/>
          <w:marBottom w:val="0"/>
          <w:divBdr>
            <w:top w:val="none" w:sz="0" w:space="0" w:color="auto"/>
            <w:left w:val="none" w:sz="0" w:space="0" w:color="auto"/>
            <w:bottom w:val="none" w:sz="0" w:space="0" w:color="auto"/>
            <w:right w:val="none" w:sz="0" w:space="0" w:color="auto"/>
          </w:divBdr>
        </w:div>
        <w:div w:id="1057168224">
          <w:marLeft w:val="0"/>
          <w:marRight w:val="0"/>
          <w:marTop w:val="0"/>
          <w:marBottom w:val="0"/>
          <w:divBdr>
            <w:top w:val="none" w:sz="0" w:space="0" w:color="auto"/>
            <w:left w:val="none" w:sz="0" w:space="0" w:color="auto"/>
            <w:bottom w:val="none" w:sz="0" w:space="0" w:color="auto"/>
            <w:right w:val="none" w:sz="0" w:space="0" w:color="auto"/>
          </w:divBdr>
        </w:div>
        <w:div w:id="1307467612">
          <w:marLeft w:val="0"/>
          <w:marRight w:val="0"/>
          <w:marTop w:val="0"/>
          <w:marBottom w:val="0"/>
          <w:divBdr>
            <w:top w:val="none" w:sz="0" w:space="0" w:color="auto"/>
            <w:left w:val="none" w:sz="0" w:space="0" w:color="auto"/>
            <w:bottom w:val="none" w:sz="0" w:space="0" w:color="auto"/>
            <w:right w:val="none" w:sz="0" w:space="0" w:color="auto"/>
          </w:divBdr>
        </w:div>
        <w:div w:id="1690373782">
          <w:marLeft w:val="0"/>
          <w:marRight w:val="0"/>
          <w:marTop w:val="0"/>
          <w:marBottom w:val="0"/>
          <w:divBdr>
            <w:top w:val="none" w:sz="0" w:space="0" w:color="auto"/>
            <w:left w:val="none" w:sz="0" w:space="0" w:color="auto"/>
            <w:bottom w:val="none" w:sz="0" w:space="0" w:color="auto"/>
            <w:right w:val="none" w:sz="0" w:space="0" w:color="auto"/>
          </w:divBdr>
        </w:div>
        <w:div w:id="548490939">
          <w:marLeft w:val="0"/>
          <w:marRight w:val="0"/>
          <w:marTop w:val="0"/>
          <w:marBottom w:val="0"/>
          <w:divBdr>
            <w:top w:val="none" w:sz="0" w:space="0" w:color="auto"/>
            <w:left w:val="none" w:sz="0" w:space="0" w:color="auto"/>
            <w:bottom w:val="none" w:sz="0" w:space="0" w:color="auto"/>
            <w:right w:val="none" w:sz="0" w:space="0" w:color="auto"/>
          </w:divBdr>
        </w:div>
        <w:div w:id="1803694712">
          <w:marLeft w:val="0"/>
          <w:marRight w:val="0"/>
          <w:marTop w:val="0"/>
          <w:marBottom w:val="0"/>
          <w:divBdr>
            <w:top w:val="none" w:sz="0" w:space="0" w:color="auto"/>
            <w:left w:val="none" w:sz="0" w:space="0" w:color="auto"/>
            <w:bottom w:val="none" w:sz="0" w:space="0" w:color="auto"/>
            <w:right w:val="none" w:sz="0" w:space="0" w:color="auto"/>
          </w:divBdr>
        </w:div>
      </w:divsChild>
    </w:div>
    <w:div w:id="804271340">
      <w:bodyDiv w:val="1"/>
      <w:marLeft w:val="0"/>
      <w:marRight w:val="0"/>
      <w:marTop w:val="0"/>
      <w:marBottom w:val="0"/>
      <w:divBdr>
        <w:top w:val="none" w:sz="0" w:space="0" w:color="auto"/>
        <w:left w:val="none" w:sz="0" w:space="0" w:color="auto"/>
        <w:bottom w:val="none" w:sz="0" w:space="0" w:color="auto"/>
        <w:right w:val="none" w:sz="0" w:space="0" w:color="auto"/>
      </w:divBdr>
    </w:div>
    <w:div w:id="867565806">
      <w:bodyDiv w:val="1"/>
      <w:marLeft w:val="0"/>
      <w:marRight w:val="0"/>
      <w:marTop w:val="0"/>
      <w:marBottom w:val="0"/>
      <w:divBdr>
        <w:top w:val="none" w:sz="0" w:space="0" w:color="auto"/>
        <w:left w:val="none" w:sz="0" w:space="0" w:color="auto"/>
        <w:bottom w:val="none" w:sz="0" w:space="0" w:color="auto"/>
        <w:right w:val="none" w:sz="0" w:space="0" w:color="auto"/>
      </w:divBdr>
    </w:div>
    <w:div w:id="947539695">
      <w:bodyDiv w:val="1"/>
      <w:marLeft w:val="0"/>
      <w:marRight w:val="0"/>
      <w:marTop w:val="0"/>
      <w:marBottom w:val="0"/>
      <w:divBdr>
        <w:top w:val="none" w:sz="0" w:space="0" w:color="auto"/>
        <w:left w:val="none" w:sz="0" w:space="0" w:color="auto"/>
        <w:bottom w:val="none" w:sz="0" w:space="0" w:color="auto"/>
        <w:right w:val="none" w:sz="0" w:space="0" w:color="auto"/>
      </w:divBdr>
      <w:divsChild>
        <w:div w:id="1614244168">
          <w:marLeft w:val="0"/>
          <w:marRight w:val="0"/>
          <w:marTop w:val="0"/>
          <w:marBottom w:val="0"/>
          <w:divBdr>
            <w:top w:val="none" w:sz="0" w:space="0" w:color="auto"/>
            <w:left w:val="none" w:sz="0" w:space="0" w:color="auto"/>
            <w:bottom w:val="none" w:sz="0" w:space="0" w:color="auto"/>
            <w:right w:val="none" w:sz="0" w:space="0" w:color="auto"/>
          </w:divBdr>
        </w:div>
        <w:div w:id="447430777">
          <w:marLeft w:val="0"/>
          <w:marRight w:val="0"/>
          <w:marTop w:val="0"/>
          <w:marBottom w:val="0"/>
          <w:divBdr>
            <w:top w:val="none" w:sz="0" w:space="0" w:color="auto"/>
            <w:left w:val="none" w:sz="0" w:space="0" w:color="auto"/>
            <w:bottom w:val="none" w:sz="0" w:space="0" w:color="auto"/>
            <w:right w:val="none" w:sz="0" w:space="0" w:color="auto"/>
          </w:divBdr>
        </w:div>
        <w:div w:id="1872180044">
          <w:marLeft w:val="0"/>
          <w:marRight w:val="0"/>
          <w:marTop w:val="0"/>
          <w:marBottom w:val="0"/>
          <w:divBdr>
            <w:top w:val="none" w:sz="0" w:space="0" w:color="auto"/>
            <w:left w:val="none" w:sz="0" w:space="0" w:color="auto"/>
            <w:bottom w:val="none" w:sz="0" w:space="0" w:color="auto"/>
            <w:right w:val="none" w:sz="0" w:space="0" w:color="auto"/>
          </w:divBdr>
        </w:div>
        <w:div w:id="2094082422">
          <w:marLeft w:val="0"/>
          <w:marRight w:val="0"/>
          <w:marTop w:val="0"/>
          <w:marBottom w:val="0"/>
          <w:divBdr>
            <w:top w:val="none" w:sz="0" w:space="0" w:color="auto"/>
            <w:left w:val="none" w:sz="0" w:space="0" w:color="auto"/>
            <w:bottom w:val="none" w:sz="0" w:space="0" w:color="auto"/>
            <w:right w:val="none" w:sz="0" w:space="0" w:color="auto"/>
          </w:divBdr>
        </w:div>
        <w:div w:id="520046353">
          <w:marLeft w:val="0"/>
          <w:marRight w:val="0"/>
          <w:marTop w:val="0"/>
          <w:marBottom w:val="0"/>
          <w:divBdr>
            <w:top w:val="none" w:sz="0" w:space="0" w:color="auto"/>
            <w:left w:val="none" w:sz="0" w:space="0" w:color="auto"/>
            <w:bottom w:val="none" w:sz="0" w:space="0" w:color="auto"/>
            <w:right w:val="none" w:sz="0" w:space="0" w:color="auto"/>
          </w:divBdr>
        </w:div>
        <w:div w:id="1966429352">
          <w:marLeft w:val="0"/>
          <w:marRight w:val="0"/>
          <w:marTop w:val="0"/>
          <w:marBottom w:val="0"/>
          <w:divBdr>
            <w:top w:val="none" w:sz="0" w:space="0" w:color="auto"/>
            <w:left w:val="none" w:sz="0" w:space="0" w:color="auto"/>
            <w:bottom w:val="none" w:sz="0" w:space="0" w:color="auto"/>
            <w:right w:val="none" w:sz="0" w:space="0" w:color="auto"/>
          </w:divBdr>
        </w:div>
        <w:div w:id="1416828793">
          <w:marLeft w:val="0"/>
          <w:marRight w:val="0"/>
          <w:marTop w:val="0"/>
          <w:marBottom w:val="0"/>
          <w:divBdr>
            <w:top w:val="none" w:sz="0" w:space="0" w:color="auto"/>
            <w:left w:val="none" w:sz="0" w:space="0" w:color="auto"/>
            <w:bottom w:val="none" w:sz="0" w:space="0" w:color="auto"/>
            <w:right w:val="none" w:sz="0" w:space="0" w:color="auto"/>
          </w:divBdr>
        </w:div>
        <w:div w:id="2101296245">
          <w:marLeft w:val="0"/>
          <w:marRight w:val="0"/>
          <w:marTop w:val="0"/>
          <w:marBottom w:val="0"/>
          <w:divBdr>
            <w:top w:val="none" w:sz="0" w:space="0" w:color="auto"/>
            <w:left w:val="none" w:sz="0" w:space="0" w:color="auto"/>
            <w:bottom w:val="none" w:sz="0" w:space="0" w:color="auto"/>
            <w:right w:val="none" w:sz="0" w:space="0" w:color="auto"/>
          </w:divBdr>
        </w:div>
        <w:div w:id="6639675">
          <w:marLeft w:val="0"/>
          <w:marRight w:val="0"/>
          <w:marTop w:val="0"/>
          <w:marBottom w:val="0"/>
          <w:divBdr>
            <w:top w:val="none" w:sz="0" w:space="0" w:color="auto"/>
            <w:left w:val="none" w:sz="0" w:space="0" w:color="auto"/>
            <w:bottom w:val="none" w:sz="0" w:space="0" w:color="auto"/>
            <w:right w:val="none" w:sz="0" w:space="0" w:color="auto"/>
          </w:divBdr>
        </w:div>
        <w:div w:id="51537790">
          <w:marLeft w:val="0"/>
          <w:marRight w:val="0"/>
          <w:marTop w:val="0"/>
          <w:marBottom w:val="0"/>
          <w:divBdr>
            <w:top w:val="none" w:sz="0" w:space="0" w:color="auto"/>
            <w:left w:val="none" w:sz="0" w:space="0" w:color="auto"/>
            <w:bottom w:val="none" w:sz="0" w:space="0" w:color="auto"/>
            <w:right w:val="none" w:sz="0" w:space="0" w:color="auto"/>
          </w:divBdr>
        </w:div>
        <w:div w:id="1992253796">
          <w:marLeft w:val="0"/>
          <w:marRight w:val="0"/>
          <w:marTop w:val="0"/>
          <w:marBottom w:val="0"/>
          <w:divBdr>
            <w:top w:val="none" w:sz="0" w:space="0" w:color="auto"/>
            <w:left w:val="none" w:sz="0" w:space="0" w:color="auto"/>
            <w:bottom w:val="none" w:sz="0" w:space="0" w:color="auto"/>
            <w:right w:val="none" w:sz="0" w:space="0" w:color="auto"/>
          </w:divBdr>
        </w:div>
        <w:div w:id="1813523824">
          <w:marLeft w:val="0"/>
          <w:marRight w:val="0"/>
          <w:marTop w:val="0"/>
          <w:marBottom w:val="0"/>
          <w:divBdr>
            <w:top w:val="none" w:sz="0" w:space="0" w:color="auto"/>
            <w:left w:val="none" w:sz="0" w:space="0" w:color="auto"/>
            <w:bottom w:val="none" w:sz="0" w:space="0" w:color="auto"/>
            <w:right w:val="none" w:sz="0" w:space="0" w:color="auto"/>
          </w:divBdr>
        </w:div>
        <w:div w:id="742799503">
          <w:marLeft w:val="0"/>
          <w:marRight w:val="0"/>
          <w:marTop w:val="0"/>
          <w:marBottom w:val="0"/>
          <w:divBdr>
            <w:top w:val="none" w:sz="0" w:space="0" w:color="auto"/>
            <w:left w:val="none" w:sz="0" w:space="0" w:color="auto"/>
            <w:bottom w:val="none" w:sz="0" w:space="0" w:color="auto"/>
            <w:right w:val="none" w:sz="0" w:space="0" w:color="auto"/>
          </w:divBdr>
        </w:div>
        <w:div w:id="1665930739">
          <w:marLeft w:val="0"/>
          <w:marRight w:val="0"/>
          <w:marTop w:val="0"/>
          <w:marBottom w:val="0"/>
          <w:divBdr>
            <w:top w:val="none" w:sz="0" w:space="0" w:color="auto"/>
            <w:left w:val="none" w:sz="0" w:space="0" w:color="auto"/>
            <w:bottom w:val="none" w:sz="0" w:space="0" w:color="auto"/>
            <w:right w:val="none" w:sz="0" w:space="0" w:color="auto"/>
          </w:divBdr>
        </w:div>
        <w:div w:id="659042686">
          <w:marLeft w:val="0"/>
          <w:marRight w:val="0"/>
          <w:marTop w:val="0"/>
          <w:marBottom w:val="0"/>
          <w:divBdr>
            <w:top w:val="none" w:sz="0" w:space="0" w:color="auto"/>
            <w:left w:val="none" w:sz="0" w:space="0" w:color="auto"/>
            <w:bottom w:val="none" w:sz="0" w:space="0" w:color="auto"/>
            <w:right w:val="none" w:sz="0" w:space="0" w:color="auto"/>
          </w:divBdr>
        </w:div>
        <w:div w:id="899091934">
          <w:marLeft w:val="0"/>
          <w:marRight w:val="0"/>
          <w:marTop w:val="0"/>
          <w:marBottom w:val="0"/>
          <w:divBdr>
            <w:top w:val="none" w:sz="0" w:space="0" w:color="auto"/>
            <w:left w:val="none" w:sz="0" w:space="0" w:color="auto"/>
            <w:bottom w:val="none" w:sz="0" w:space="0" w:color="auto"/>
            <w:right w:val="none" w:sz="0" w:space="0" w:color="auto"/>
          </w:divBdr>
        </w:div>
        <w:div w:id="257060945">
          <w:marLeft w:val="0"/>
          <w:marRight w:val="0"/>
          <w:marTop w:val="0"/>
          <w:marBottom w:val="0"/>
          <w:divBdr>
            <w:top w:val="none" w:sz="0" w:space="0" w:color="auto"/>
            <w:left w:val="none" w:sz="0" w:space="0" w:color="auto"/>
            <w:bottom w:val="none" w:sz="0" w:space="0" w:color="auto"/>
            <w:right w:val="none" w:sz="0" w:space="0" w:color="auto"/>
          </w:divBdr>
        </w:div>
        <w:div w:id="109125788">
          <w:marLeft w:val="0"/>
          <w:marRight w:val="0"/>
          <w:marTop w:val="0"/>
          <w:marBottom w:val="0"/>
          <w:divBdr>
            <w:top w:val="none" w:sz="0" w:space="0" w:color="auto"/>
            <w:left w:val="none" w:sz="0" w:space="0" w:color="auto"/>
            <w:bottom w:val="none" w:sz="0" w:space="0" w:color="auto"/>
            <w:right w:val="none" w:sz="0" w:space="0" w:color="auto"/>
          </w:divBdr>
        </w:div>
        <w:div w:id="236478068">
          <w:marLeft w:val="0"/>
          <w:marRight w:val="0"/>
          <w:marTop w:val="0"/>
          <w:marBottom w:val="0"/>
          <w:divBdr>
            <w:top w:val="none" w:sz="0" w:space="0" w:color="auto"/>
            <w:left w:val="none" w:sz="0" w:space="0" w:color="auto"/>
            <w:bottom w:val="none" w:sz="0" w:space="0" w:color="auto"/>
            <w:right w:val="none" w:sz="0" w:space="0" w:color="auto"/>
          </w:divBdr>
        </w:div>
      </w:divsChild>
    </w:div>
    <w:div w:id="996684769">
      <w:bodyDiv w:val="1"/>
      <w:marLeft w:val="0"/>
      <w:marRight w:val="0"/>
      <w:marTop w:val="0"/>
      <w:marBottom w:val="0"/>
      <w:divBdr>
        <w:top w:val="none" w:sz="0" w:space="0" w:color="auto"/>
        <w:left w:val="none" w:sz="0" w:space="0" w:color="auto"/>
        <w:bottom w:val="none" w:sz="0" w:space="0" w:color="auto"/>
        <w:right w:val="none" w:sz="0" w:space="0" w:color="auto"/>
      </w:divBdr>
    </w:div>
    <w:div w:id="1075326178">
      <w:bodyDiv w:val="1"/>
      <w:marLeft w:val="0"/>
      <w:marRight w:val="0"/>
      <w:marTop w:val="0"/>
      <w:marBottom w:val="0"/>
      <w:divBdr>
        <w:top w:val="none" w:sz="0" w:space="0" w:color="auto"/>
        <w:left w:val="none" w:sz="0" w:space="0" w:color="auto"/>
        <w:bottom w:val="none" w:sz="0" w:space="0" w:color="auto"/>
        <w:right w:val="none" w:sz="0" w:space="0" w:color="auto"/>
      </w:divBdr>
      <w:divsChild>
        <w:div w:id="1294865178">
          <w:marLeft w:val="0"/>
          <w:marRight w:val="0"/>
          <w:marTop w:val="0"/>
          <w:marBottom w:val="0"/>
          <w:divBdr>
            <w:top w:val="none" w:sz="0" w:space="0" w:color="auto"/>
            <w:left w:val="none" w:sz="0" w:space="0" w:color="auto"/>
            <w:bottom w:val="none" w:sz="0" w:space="0" w:color="auto"/>
            <w:right w:val="none" w:sz="0" w:space="0" w:color="auto"/>
          </w:divBdr>
        </w:div>
        <w:div w:id="1461921809">
          <w:marLeft w:val="0"/>
          <w:marRight w:val="0"/>
          <w:marTop w:val="0"/>
          <w:marBottom w:val="0"/>
          <w:divBdr>
            <w:top w:val="none" w:sz="0" w:space="0" w:color="auto"/>
            <w:left w:val="none" w:sz="0" w:space="0" w:color="auto"/>
            <w:bottom w:val="none" w:sz="0" w:space="0" w:color="auto"/>
            <w:right w:val="none" w:sz="0" w:space="0" w:color="auto"/>
          </w:divBdr>
        </w:div>
        <w:div w:id="968124154">
          <w:marLeft w:val="0"/>
          <w:marRight w:val="0"/>
          <w:marTop w:val="0"/>
          <w:marBottom w:val="0"/>
          <w:divBdr>
            <w:top w:val="none" w:sz="0" w:space="0" w:color="auto"/>
            <w:left w:val="none" w:sz="0" w:space="0" w:color="auto"/>
            <w:bottom w:val="none" w:sz="0" w:space="0" w:color="auto"/>
            <w:right w:val="none" w:sz="0" w:space="0" w:color="auto"/>
          </w:divBdr>
        </w:div>
        <w:div w:id="801533439">
          <w:marLeft w:val="0"/>
          <w:marRight w:val="0"/>
          <w:marTop w:val="0"/>
          <w:marBottom w:val="0"/>
          <w:divBdr>
            <w:top w:val="none" w:sz="0" w:space="0" w:color="auto"/>
            <w:left w:val="none" w:sz="0" w:space="0" w:color="auto"/>
            <w:bottom w:val="none" w:sz="0" w:space="0" w:color="auto"/>
            <w:right w:val="none" w:sz="0" w:space="0" w:color="auto"/>
          </w:divBdr>
        </w:div>
        <w:div w:id="1909218655">
          <w:marLeft w:val="0"/>
          <w:marRight w:val="0"/>
          <w:marTop w:val="0"/>
          <w:marBottom w:val="0"/>
          <w:divBdr>
            <w:top w:val="none" w:sz="0" w:space="0" w:color="auto"/>
            <w:left w:val="none" w:sz="0" w:space="0" w:color="auto"/>
            <w:bottom w:val="none" w:sz="0" w:space="0" w:color="auto"/>
            <w:right w:val="none" w:sz="0" w:space="0" w:color="auto"/>
          </w:divBdr>
        </w:div>
        <w:div w:id="847137453">
          <w:marLeft w:val="0"/>
          <w:marRight w:val="0"/>
          <w:marTop w:val="0"/>
          <w:marBottom w:val="0"/>
          <w:divBdr>
            <w:top w:val="none" w:sz="0" w:space="0" w:color="auto"/>
            <w:left w:val="none" w:sz="0" w:space="0" w:color="auto"/>
            <w:bottom w:val="none" w:sz="0" w:space="0" w:color="auto"/>
            <w:right w:val="none" w:sz="0" w:space="0" w:color="auto"/>
          </w:divBdr>
        </w:div>
        <w:div w:id="2054227125">
          <w:marLeft w:val="0"/>
          <w:marRight w:val="0"/>
          <w:marTop w:val="0"/>
          <w:marBottom w:val="0"/>
          <w:divBdr>
            <w:top w:val="none" w:sz="0" w:space="0" w:color="auto"/>
            <w:left w:val="none" w:sz="0" w:space="0" w:color="auto"/>
            <w:bottom w:val="none" w:sz="0" w:space="0" w:color="auto"/>
            <w:right w:val="none" w:sz="0" w:space="0" w:color="auto"/>
          </w:divBdr>
        </w:div>
        <w:div w:id="589505935">
          <w:marLeft w:val="0"/>
          <w:marRight w:val="0"/>
          <w:marTop w:val="0"/>
          <w:marBottom w:val="0"/>
          <w:divBdr>
            <w:top w:val="none" w:sz="0" w:space="0" w:color="auto"/>
            <w:left w:val="none" w:sz="0" w:space="0" w:color="auto"/>
            <w:bottom w:val="none" w:sz="0" w:space="0" w:color="auto"/>
            <w:right w:val="none" w:sz="0" w:space="0" w:color="auto"/>
          </w:divBdr>
        </w:div>
        <w:div w:id="44375401">
          <w:marLeft w:val="0"/>
          <w:marRight w:val="0"/>
          <w:marTop w:val="0"/>
          <w:marBottom w:val="0"/>
          <w:divBdr>
            <w:top w:val="none" w:sz="0" w:space="0" w:color="auto"/>
            <w:left w:val="none" w:sz="0" w:space="0" w:color="auto"/>
            <w:bottom w:val="none" w:sz="0" w:space="0" w:color="auto"/>
            <w:right w:val="none" w:sz="0" w:space="0" w:color="auto"/>
          </w:divBdr>
        </w:div>
        <w:div w:id="1669554505">
          <w:marLeft w:val="0"/>
          <w:marRight w:val="0"/>
          <w:marTop w:val="0"/>
          <w:marBottom w:val="0"/>
          <w:divBdr>
            <w:top w:val="none" w:sz="0" w:space="0" w:color="auto"/>
            <w:left w:val="none" w:sz="0" w:space="0" w:color="auto"/>
            <w:bottom w:val="none" w:sz="0" w:space="0" w:color="auto"/>
            <w:right w:val="none" w:sz="0" w:space="0" w:color="auto"/>
          </w:divBdr>
        </w:div>
      </w:divsChild>
    </w:div>
    <w:div w:id="1191187130">
      <w:bodyDiv w:val="1"/>
      <w:marLeft w:val="0"/>
      <w:marRight w:val="0"/>
      <w:marTop w:val="0"/>
      <w:marBottom w:val="0"/>
      <w:divBdr>
        <w:top w:val="none" w:sz="0" w:space="0" w:color="auto"/>
        <w:left w:val="none" w:sz="0" w:space="0" w:color="auto"/>
        <w:bottom w:val="none" w:sz="0" w:space="0" w:color="auto"/>
        <w:right w:val="none" w:sz="0" w:space="0" w:color="auto"/>
      </w:divBdr>
      <w:divsChild>
        <w:div w:id="859322970">
          <w:marLeft w:val="0"/>
          <w:marRight w:val="0"/>
          <w:marTop w:val="0"/>
          <w:marBottom w:val="0"/>
          <w:divBdr>
            <w:top w:val="none" w:sz="0" w:space="0" w:color="auto"/>
            <w:left w:val="none" w:sz="0" w:space="0" w:color="auto"/>
            <w:bottom w:val="none" w:sz="0" w:space="0" w:color="auto"/>
            <w:right w:val="none" w:sz="0" w:space="0" w:color="auto"/>
          </w:divBdr>
        </w:div>
        <w:div w:id="459080184">
          <w:marLeft w:val="0"/>
          <w:marRight w:val="0"/>
          <w:marTop w:val="0"/>
          <w:marBottom w:val="0"/>
          <w:divBdr>
            <w:top w:val="none" w:sz="0" w:space="0" w:color="auto"/>
            <w:left w:val="none" w:sz="0" w:space="0" w:color="auto"/>
            <w:bottom w:val="none" w:sz="0" w:space="0" w:color="auto"/>
            <w:right w:val="none" w:sz="0" w:space="0" w:color="auto"/>
          </w:divBdr>
        </w:div>
        <w:div w:id="442194386">
          <w:marLeft w:val="0"/>
          <w:marRight w:val="0"/>
          <w:marTop w:val="0"/>
          <w:marBottom w:val="0"/>
          <w:divBdr>
            <w:top w:val="none" w:sz="0" w:space="0" w:color="auto"/>
            <w:left w:val="none" w:sz="0" w:space="0" w:color="auto"/>
            <w:bottom w:val="none" w:sz="0" w:space="0" w:color="auto"/>
            <w:right w:val="none" w:sz="0" w:space="0" w:color="auto"/>
          </w:divBdr>
        </w:div>
        <w:div w:id="1747876079">
          <w:marLeft w:val="0"/>
          <w:marRight w:val="0"/>
          <w:marTop w:val="0"/>
          <w:marBottom w:val="0"/>
          <w:divBdr>
            <w:top w:val="none" w:sz="0" w:space="0" w:color="auto"/>
            <w:left w:val="none" w:sz="0" w:space="0" w:color="auto"/>
            <w:bottom w:val="none" w:sz="0" w:space="0" w:color="auto"/>
            <w:right w:val="none" w:sz="0" w:space="0" w:color="auto"/>
          </w:divBdr>
        </w:div>
        <w:div w:id="172107186">
          <w:marLeft w:val="0"/>
          <w:marRight w:val="0"/>
          <w:marTop w:val="0"/>
          <w:marBottom w:val="0"/>
          <w:divBdr>
            <w:top w:val="none" w:sz="0" w:space="0" w:color="auto"/>
            <w:left w:val="none" w:sz="0" w:space="0" w:color="auto"/>
            <w:bottom w:val="none" w:sz="0" w:space="0" w:color="auto"/>
            <w:right w:val="none" w:sz="0" w:space="0" w:color="auto"/>
          </w:divBdr>
        </w:div>
        <w:div w:id="872226705">
          <w:marLeft w:val="0"/>
          <w:marRight w:val="0"/>
          <w:marTop w:val="0"/>
          <w:marBottom w:val="0"/>
          <w:divBdr>
            <w:top w:val="none" w:sz="0" w:space="0" w:color="auto"/>
            <w:left w:val="none" w:sz="0" w:space="0" w:color="auto"/>
            <w:bottom w:val="none" w:sz="0" w:space="0" w:color="auto"/>
            <w:right w:val="none" w:sz="0" w:space="0" w:color="auto"/>
          </w:divBdr>
        </w:div>
        <w:div w:id="453523787">
          <w:marLeft w:val="0"/>
          <w:marRight w:val="0"/>
          <w:marTop w:val="0"/>
          <w:marBottom w:val="0"/>
          <w:divBdr>
            <w:top w:val="none" w:sz="0" w:space="0" w:color="auto"/>
            <w:left w:val="none" w:sz="0" w:space="0" w:color="auto"/>
            <w:bottom w:val="none" w:sz="0" w:space="0" w:color="auto"/>
            <w:right w:val="none" w:sz="0" w:space="0" w:color="auto"/>
          </w:divBdr>
        </w:div>
        <w:div w:id="2129663770">
          <w:marLeft w:val="0"/>
          <w:marRight w:val="0"/>
          <w:marTop w:val="0"/>
          <w:marBottom w:val="0"/>
          <w:divBdr>
            <w:top w:val="none" w:sz="0" w:space="0" w:color="auto"/>
            <w:left w:val="none" w:sz="0" w:space="0" w:color="auto"/>
            <w:bottom w:val="none" w:sz="0" w:space="0" w:color="auto"/>
            <w:right w:val="none" w:sz="0" w:space="0" w:color="auto"/>
          </w:divBdr>
        </w:div>
        <w:div w:id="1482498551">
          <w:marLeft w:val="0"/>
          <w:marRight w:val="0"/>
          <w:marTop w:val="0"/>
          <w:marBottom w:val="0"/>
          <w:divBdr>
            <w:top w:val="none" w:sz="0" w:space="0" w:color="auto"/>
            <w:left w:val="none" w:sz="0" w:space="0" w:color="auto"/>
            <w:bottom w:val="none" w:sz="0" w:space="0" w:color="auto"/>
            <w:right w:val="none" w:sz="0" w:space="0" w:color="auto"/>
          </w:divBdr>
        </w:div>
        <w:div w:id="118961081">
          <w:marLeft w:val="0"/>
          <w:marRight w:val="0"/>
          <w:marTop w:val="0"/>
          <w:marBottom w:val="0"/>
          <w:divBdr>
            <w:top w:val="none" w:sz="0" w:space="0" w:color="auto"/>
            <w:left w:val="none" w:sz="0" w:space="0" w:color="auto"/>
            <w:bottom w:val="none" w:sz="0" w:space="0" w:color="auto"/>
            <w:right w:val="none" w:sz="0" w:space="0" w:color="auto"/>
          </w:divBdr>
        </w:div>
        <w:div w:id="1357930071">
          <w:marLeft w:val="0"/>
          <w:marRight w:val="0"/>
          <w:marTop w:val="0"/>
          <w:marBottom w:val="0"/>
          <w:divBdr>
            <w:top w:val="none" w:sz="0" w:space="0" w:color="auto"/>
            <w:left w:val="none" w:sz="0" w:space="0" w:color="auto"/>
            <w:bottom w:val="none" w:sz="0" w:space="0" w:color="auto"/>
            <w:right w:val="none" w:sz="0" w:space="0" w:color="auto"/>
          </w:divBdr>
        </w:div>
        <w:div w:id="1566866539">
          <w:marLeft w:val="0"/>
          <w:marRight w:val="0"/>
          <w:marTop w:val="0"/>
          <w:marBottom w:val="0"/>
          <w:divBdr>
            <w:top w:val="none" w:sz="0" w:space="0" w:color="auto"/>
            <w:left w:val="none" w:sz="0" w:space="0" w:color="auto"/>
            <w:bottom w:val="none" w:sz="0" w:space="0" w:color="auto"/>
            <w:right w:val="none" w:sz="0" w:space="0" w:color="auto"/>
          </w:divBdr>
        </w:div>
        <w:div w:id="1272320920">
          <w:marLeft w:val="0"/>
          <w:marRight w:val="0"/>
          <w:marTop w:val="0"/>
          <w:marBottom w:val="0"/>
          <w:divBdr>
            <w:top w:val="none" w:sz="0" w:space="0" w:color="auto"/>
            <w:left w:val="none" w:sz="0" w:space="0" w:color="auto"/>
            <w:bottom w:val="none" w:sz="0" w:space="0" w:color="auto"/>
            <w:right w:val="none" w:sz="0" w:space="0" w:color="auto"/>
          </w:divBdr>
        </w:div>
        <w:div w:id="1139110099">
          <w:marLeft w:val="0"/>
          <w:marRight w:val="0"/>
          <w:marTop w:val="0"/>
          <w:marBottom w:val="0"/>
          <w:divBdr>
            <w:top w:val="none" w:sz="0" w:space="0" w:color="auto"/>
            <w:left w:val="none" w:sz="0" w:space="0" w:color="auto"/>
            <w:bottom w:val="none" w:sz="0" w:space="0" w:color="auto"/>
            <w:right w:val="none" w:sz="0" w:space="0" w:color="auto"/>
          </w:divBdr>
        </w:div>
        <w:div w:id="48497497">
          <w:marLeft w:val="0"/>
          <w:marRight w:val="0"/>
          <w:marTop w:val="0"/>
          <w:marBottom w:val="0"/>
          <w:divBdr>
            <w:top w:val="none" w:sz="0" w:space="0" w:color="auto"/>
            <w:left w:val="none" w:sz="0" w:space="0" w:color="auto"/>
            <w:bottom w:val="none" w:sz="0" w:space="0" w:color="auto"/>
            <w:right w:val="none" w:sz="0" w:space="0" w:color="auto"/>
          </w:divBdr>
        </w:div>
        <w:div w:id="1717896109">
          <w:marLeft w:val="0"/>
          <w:marRight w:val="0"/>
          <w:marTop w:val="0"/>
          <w:marBottom w:val="0"/>
          <w:divBdr>
            <w:top w:val="none" w:sz="0" w:space="0" w:color="auto"/>
            <w:left w:val="none" w:sz="0" w:space="0" w:color="auto"/>
            <w:bottom w:val="none" w:sz="0" w:space="0" w:color="auto"/>
            <w:right w:val="none" w:sz="0" w:space="0" w:color="auto"/>
          </w:divBdr>
        </w:div>
        <w:div w:id="323049383">
          <w:marLeft w:val="0"/>
          <w:marRight w:val="0"/>
          <w:marTop w:val="0"/>
          <w:marBottom w:val="0"/>
          <w:divBdr>
            <w:top w:val="none" w:sz="0" w:space="0" w:color="auto"/>
            <w:left w:val="none" w:sz="0" w:space="0" w:color="auto"/>
            <w:bottom w:val="none" w:sz="0" w:space="0" w:color="auto"/>
            <w:right w:val="none" w:sz="0" w:space="0" w:color="auto"/>
          </w:divBdr>
        </w:div>
        <w:div w:id="842092944">
          <w:marLeft w:val="0"/>
          <w:marRight w:val="0"/>
          <w:marTop w:val="0"/>
          <w:marBottom w:val="0"/>
          <w:divBdr>
            <w:top w:val="none" w:sz="0" w:space="0" w:color="auto"/>
            <w:left w:val="none" w:sz="0" w:space="0" w:color="auto"/>
            <w:bottom w:val="none" w:sz="0" w:space="0" w:color="auto"/>
            <w:right w:val="none" w:sz="0" w:space="0" w:color="auto"/>
          </w:divBdr>
        </w:div>
        <w:div w:id="828978649">
          <w:marLeft w:val="0"/>
          <w:marRight w:val="0"/>
          <w:marTop w:val="0"/>
          <w:marBottom w:val="0"/>
          <w:divBdr>
            <w:top w:val="none" w:sz="0" w:space="0" w:color="auto"/>
            <w:left w:val="none" w:sz="0" w:space="0" w:color="auto"/>
            <w:bottom w:val="none" w:sz="0" w:space="0" w:color="auto"/>
            <w:right w:val="none" w:sz="0" w:space="0" w:color="auto"/>
          </w:divBdr>
        </w:div>
        <w:div w:id="1403916560">
          <w:marLeft w:val="0"/>
          <w:marRight w:val="0"/>
          <w:marTop w:val="0"/>
          <w:marBottom w:val="0"/>
          <w:divBdr>
            <w:top w:val="none" w:sz="0" w:space="0" w:color="auto"/>
            <w:left w:val="none" w:sz="0" w:space="0" w:color="auto"/>
            <w:bottom w:val="none" w:sz="0" w:space="0" w:color="auto"/>
            <w:right w:val="none" w:sz="0" w:space="0" w:color="auto"/>
          </w:divBdr>
        </w:div>
        <w:div w:id="792945916">
          <w:marLeft w:val="0"/>
          <w:marRight w:val="0"/>
          <w:marTop w:val="0"/>
          <w:marBottom w:val="0"/>
          <w:divBdr>
            <w:top w:val="none" w:sz="0" w:space="0" w:color="auto"/>
            <w:left w:val="none" w:sz="0" w:space="0" w:color="auto"/>
            <w:bottom w:val="none" w:sz="0" w:space="0" w:color="auto"/>
            <w:right w:val="none" w:sz="0" w:space="0" w:color="auto"/>
          </w:divBdr>
        </w:div>
        <w:div w:id="1299455776">
          <w:marLeft w:val="0"/>
          <w:marRight w:val="0"/>
          <w:marTop w:val="0"/>
          <w:marBottom w:val="0"/>
          <w:divBdr>
            <w:top w:val="none" w:sz="0" w:space="0" w:color="auto"/>
            <w:left w:val="none" w:sz="0" w:space="0" w:color="auto"/>
            <w:bottom w:val="none" w:sz="0" w:space="0" w:color="auto"/>
            <w:right w:val="none" w:sz="0" w:space="0" w:color="auto"/>
          </w:divBdr>
        </w:div>
        <w:div w:id="250968745">
          <w:marLeft w:val="0"/>
          <w:marRight w:val="0"/>
          <w:marTop w:val="0"/>
          <w:marBottom w:val="0"/>
          <w:divBdr>
            <w:top w:val="none" w:sz="0" w:space="0" w:color="auto"/>
            <w:left w:val="none" w:sz="0" w:space="0" w:color="auto"/>
            <w:bottom w:val="none" w:sz="0" w:space="0" w:color="auto"/>
            <w:right w:val="none" w:sz="0" w:space="0" w:color="auto"/>
          </w:divBdr>
        </w:div>
        <w:div w:id="1135098132">
          <w:marLeft w:val="0"/>
          <w:marRight w:val="0"/>
          <w:marTop w:val="0"/>
          <w:marBottom w:val="0"/>
          <w:divBdr>
            <w:top w:val="none" w:sz="0" w:space="0" w:color="auto"/>
            <w:left w:val="none" w:sz="0" w:space="0" w:color="auto"/>
            <w:bottom w:val="none" w:sz="0" w:space="0" w:color="auto"/>
            <w:right w:val="none" w:sz="0" w:space="0" w:color="auto"/>
          </w:divBdr>
        </w:div>
        <w:div w:id="1282686790">
          <w:marLeft w:val="0"/>
          <w:marRight w:val="0"/>
          <w:marTop w:val="0"/>
          <w:marBottom w:val="0"/>
          <w:divBdr>
            <w:top w:val="none" w:sz="0" w:space="0" w:color="auto"/>
            <w:left w:val="none" w:sz="0" w:space="0" w:color="auto"/>
            <w:bottom w:val="none" w:sz="0" w:space="0" w:color="auto"/>
            <w:right w:val="none" w:sz="0" w:space="0" w:color="auto"/>
          </w:divBdr>
        </w:div>
        <w:div w:id="200288754">
          <w:marLeft w:val="0"/>
          <w:marRight w:val="0"/>
          <w:marTop w:val="0"/>
          <w:marBottom w:val="0"/>
          <w:divBdr>
            <w:top w:val="none" w:sz="0" w:space="0" w:color="auto"/>
            <w:left w:val="none" w:sz="0" w:space="0" w:color="auto"/>
            <w:bottom w:val="none" w:sz="0" w:space="0" w:color="auto"/>
            <w:right w:val="none" w:sz="0" w:space="0" w:color="auto"/>
          </w:divBdr>
        </w:div>
        <w:div w:id="1145391550">
          <w:marLeft w:val="0"/>
          <w:marRight w:val="0"/>
          <w:marTop w:val="0"/>
          <w:marBottom w:val="0"/>
          <w:divBdr>
            <w:top w:val="none" w:sz="0" w:space="0" w:color="auto"/>
            <w:left w:val="none" w:sz="0" w:space="0" w:color="auto"/>
            <w:bottom w:val="none" w:sz="0" w:space="0" w:color="auto"/>
            <w:right w:val="none" w:sz="0" w:space="0" w:color="auto"/>
          </w:divBdr>
        </w:div>
        <w:div w:id="586310356">
          <w:marLeft w:val="0"/>
          <w:marRight w:val="0"/>
          <w:marTop w:val="0"/>
          <w:marBottom w:val="0"/>
          <w:divBdr>
            <w:top w:val="none" w:sz="0" w:space="0" w:color="auto"/>
            <w:left w:val="none" w:sz="0" w:space="0" w:color="auto"/>
            <w:bottom w:val="none" w:sz="0" w:space="0" w:color="auto"/>
            <w:right w:val="none" w:sz="0" w:space="0" w:color="auto"/>
          </w:divBdr>
        </w:div>
        <w:div w:id="392238202">
          <w:marLeft w:val="0"/>
          <w:marRight w:val="0"/>
          <w:marTop w:val="0"/>
          <w:marBottom w:val="0"/>
          <w:divBdr>
            <w:top w:val="none" w:sz="0" w:space="0" w:color="auto"/>
            <w:left w:val="none" w:sz="0" w:space="0" w:color="auto"/>
            <w:bottom w:val="none" w:sz="0" w:space="0" w:color="auto"/>
            <w:right w:val="none" w:sz="0" w:space="0" w:color="auto"/>
          </w:divBdr>
        </w:div>
        <w:div w:id="123699067">
          <w:marLeft w:val="0"/>
          <w:marRight w:val="0"/>
          <w:marTop w:val="0"/>
          <w:marBottom w:val="0"/>
          <w:divBdr>
            <w:top w:val="none" w:sz="0" w:space="0" w:color="auto"/>
            <w:left w:val="none" w:sz="0" w:space="0" w:color="auto"/>
            <w:bottom w:val="none" w:sz="0" w:space="0" w:color="auto"/>
            <w:right w:val="none" w:sz="0" w:space="0" w:color="auto"/>
          </w:divBdr>
        </w:div>
        <w:div w:id="1259172205">
          <w:marLeft w:val="0"/>
          <w:marRight w:val="0"/>
          <w:marTop w:val="0"/>
          <w:marBottom w:val="0"/>
          <w:divBdr>
            <w:top w:val="none" w:sz="0" w:space="0" w:color="auto"/>
            <w:left w:val="none" w:sz="0" w:space="0" w:color="auto"/>
            <w:bottom w:val="none" w:sz="0" w:space="0" w:color="auto"/>
            <w:right w:val="none" w:sz="0" w:space="0" w:color="auto"/>
          </w:divBdr>
        </w:div>
        <w:div w:id="210969094">
          <w:marLeft w:val="0"/>
          <w:marRight w:val="0"/>
          <w:marTop w:val="0"/>
          <w:marBottom w:val="0"/>
          <w:divBdr>
            <w:top w:val="none" w:sz="0" w:space="0" w:color="auto"/>
            <w:left w:val="none" w:sz="0" w:space="0" w:color="auto"/>
            <w:bottom w:val="none" w:sz="0" w:space="0" w:color="auto"/>
            <w:right w:val="none" w:sz="0" w:space="0" w:color="auto"/>
          </w:divBdr>
        </w:div>
        <w:div w:id="1279602583">
          <w:marLeft w:val="0"/>
          <w:marRight w:val="0"/>
          <w:marTop w:val="0"/>
          <w:marBottom w:val="0"/>
          <w:divBdr>
            <w:top w:val="none" w:sz="0" w:space="0" w:color="auto"/>
            <w:left w:val="none" w:sz="0" w:space="0" w:color="auto"/>
            <w:bottom w:val="none" w:sz="0" w:space="0" w:color="auto"/>
            <w:right w:val="none" w:sz="0" w:space="0" w:color="auto"/>
          </w:divBdr>
        </w:div>
      </w:divsChild>
    </w:div>
    <w:div w:id="1285306493">
      <w:bodyDiv w:val="1"/>
      <w:marLeft w:val="0"/>
      <w:marRight w:val="0"/>
      <w:marTop w:val="0"/>
      <w:marBottom w:val="0"/>
      <w:divBdr>
        <w:top w:val="none" w:sz="0" w:space="0" w:color="auto"/>
        <w:left w:val="none" w:sz="0" w:space="0" w:color="auto"/>
        <w:bottom w:val="none" w:sz="0" w:space="0" w:color="auto"/>
        <w:right w:val="none" w:sz="0" w:space="0" w:color="auto"/>
      </w:divBdr>
      <w:divsChild>
        <w:div w:id="2048286469">
          <w:marLeft w:val="0"/>
          <w:marRight w:val="0"/>
          <w:marTop w:val="0"/>
          <w:marBottom w:val="0"/>
          <w:divBdr>
            <w:top w:val="none" w:sz="0" w:space="0" w:color="auto"/>
            <w:left w:val="none" w:sz="0" w:space="0" w:color="auto"/>
            <w:bottom w:val="none" w:sz="0" w:space="0" w:color="auto"/>
            <w:right w:val="none" w:sz="0" w:space="0" w:color="auto"/>
          </w:divBdr>
        </w:div>
        <w:div w:id="1798982936">
          <w:marLeft w:val="0"/>
          <w:marRight w:val="0"/>
          <w:marTop w:val="0"/>
          <w:marBottom w:val="0"/>
          <w:divBdr>
            <w:top w:val="none" w:sz="0" w:space="0" w:color="auto"/>
            <w:left w:val="none" w:sz="0" w:space="0" w:color="auto"/>
            <w:bottom w:val="none" w:sz="0" w:space="0" w:color="auto"/>
            <w:right w:val="none" w:sz="0" w:space="0" w:color="auto"/>
          </w:divBdr>
        </w:div>
        <w:div w:id="545482875">
          <w:marLeft w:val="0"/>
          <w:marRight w:val="0"/>
          <w:marTop w:val="0"/>
          <w:marBottom w:val="0"/>
          <w:divBdr>
            <w:top w:val="none" w:sz="0" w:space="0" w:color="auto"/>
            <w:left w:val="none" w:sz="0" w:space="0" w:color="auto"/>
            <w:bottom w:val="none" w:sz="0" w:space="0" w:color="auto"/>
            <w:right w:val="none" w:sz="0" w:space="0" w:color="auto"/>
          </w:divBdr>
        </w:div>
        <w:div w:id="1534344805">
          <w:marLeft w:val="0"/>
          <w:marRight w:val="0"/>
          <w:marTop w:val="0"/>
          <w:marBottom w:val="0"/>
          <w:divBdr>
            <w:top w:val="none" w:sz="0" w:space="0" w:color="auto"/>
            <w:left w:val="none" w:sz="0" w:space="0" w:color="auto"/>
            <w:bottom w:val="none" w:sz="0" w:space="0" w:color="auto"/>
            <w:right w:val="none" w:sz="0" w:space="0" w:color="auto"/>
          </w:divBdr>
        </w:div>
        <w:div w:id="1025712434">
          <w:marLeft w:val="0"/>
          <w:marRight w:val="0"/>
          <w:marTop w:val="0"/>
          <w:marBottom w:val="0"/>
          <w:divBdr>
            <w:top w:val="none" w:sz="0" w:space="0" w:color="auto"/>
            <w:left w:val="none" w:sz="0" w:space="0" w:color="auto"/>
            <w:bottom w:val="none" w:sz="0" w:space="0" w:color="auto"/>
            <w:right w:val="none" w:sz="0" w:space="0" w:color="auto"/>
          </w:divBdr>
        </w:div>
        <w:div w:id="2135246260">
          <w:marLeft w:val="0"/>
          <w:marRight w:val="0"/>
          <w:marTop w:val="0"/>
          <w:marBottom w:val="0"/>
          <w:divBdr>
            <w:top w:val="none" w:sz="0" w:space="0" w:color="auto"/>
            <w:left w:val="none" w:sz="0" w:space="0" w:color="auto"/>
            <w:bottom w:val="none" w:sz="0" w:space="0" w:color="auto"/>
            <w:right w:val="none" w:sz="0" w:space="0" w:color="auto"/>
          </w:divBdr>
        </w:div>
        <w:div w:id="739719603">
          <w:marLeft w:val="0"/>
          <w:marRight w:val="0"/>
          <w:marTop w:val="0"/>
          <w:marBottom w:val="0"/>
          <w:divBdr>
            <w:top w:val="none" w:sz="0" w:space="0" w:color="auto"/>
            <w:left w:val="none" w:sz="0" w:space="0" w:color="auto"/>
            <w:bottom w:val="none" w:sz="0" w:space="0" w:color="auto"/>
            <w:right w:val="none" w:sz="0" w:space="0" w:color="auto"/>
          </w:divBdr>
        </w:div>
        <w:div w:id="457265723">
          <w:marLeft w:val="0"/>
          <w:marRight w:val="0"/>
          <w:marTop w:val="0"/>
          <w:marBottom w:val="0"/>
          <w:divBdr>
            <w:top w:val="none" w:sz="0" w:space="0" w:color="auto"/>
            <w:left w:val="none" w:sz="0" w:space="0" w:color="auto"/>
            <w:bottom w:val="none" w:sz="0" w:space="0" w:color="auto"/>
            <w:right w:val="none" w:sz="0" w:space="0" w:color="auto"/>
          </w:divBdr>
        </w:div>
        <w:div w:id="1411385235">
          <w:marLeft w:val="0"/>
          <w:marRight w:val="0"/>
          <w:marTop w:val="0"/>
          <w:marBottom w:val="0"/>
          <w:divBdr>
            <w:top w:val="none" w:sz="0" w:space="0" w:color="auto"/>
            <w:left w:val="none" w:sz="0" w:space="0" w:color="auto"/>
            <w:bottom w:val="none" w:sz="0" w:space="0" w:color="auto"/>
            <w:right w:val="none" w:sz="0" w:space="0" w:color="auto"/>
          </w:divBdr>
        </w:div>
        <w:div w:id="176385498">
          <w:marLeft w:val="0"/>
          <w:marRight w:val="0"/>
          <w:marTop w:val="0"/>
          <w:marBottom w:val="0"/>
          <w:divBdr>
            <w:top w:val="none" w:sz="0" w:space="0" w:color="auto"/>
            <w:left w:val="none" w:sz="0" w:space="0" w:color="auto"/>
            <w:bottom w:val="none" w:sz="0" w:space="0" w:color="auto"/>
            <w:right w:val="none" w:sz="0" w:space="0" w:color="auto"/>
          </w:divBdr>
        </w:div>
        <w:div w:id="1730880022">
          <w:marLeft w:val="0"/>
          <w:marRight w:val="0"/>
          <w:marTop w:val="0"/>
          <w:marBottom w:val="0"/>
          <w:divBdr>
            <w:top w:val="none" w:sz="0" w:space="0" w:color="auto"/>
            <w:left w:val="none" w:sz="0" w:space="0" w:color="auto"/>
            <w:bottom w:val="none" w:sz="0" w:space="0" w:color="auto"/>
            <w:right w:val="none" w:sz="0" w:space="0" w:color="auto"/>
          </w:divBdr>
        </w:div>
        <w:div w:id="696321881">
          <w:marLeft w:val="0"/>
          <w:marRight w:val="0"/>
          <w:marTop w:val="0"/>
          <w:marBottom w:val="0"/>
          <w:divBdr>
            <w:top w:val="none" w:sz="0" w:space="0" w:color="auto"/>
            <w:left w:val="none" w:sz="0" w:space="0" w:color="auto"/>
            <w:bottom w:val="none" w:sz="0" w:space="0" w:color="auto"/>
            <w:right w:val="none" w:sz="0" w:space="0" w:color="auto"/>
          </w:divBdr>
        </w:div>
        <w:div w:id="1646936618">
          <w:marLeft w:val="0"/>
          <w:marRight w:val="0"/>
          <w:marTop w:val="0"/>
          <w:marBottom w:val="0"/>
          <w:divBdr>
            <w:top w:val="none" w:sz="0" w:space="0" w:color="auto"/>
            <w:left w:val="none" w:sz="0" w:space="0" w:color="auto"/>
            <w:bottom w:val="none" w:sz="0" w:space="0" w:color="auto"/>
            <w:right w:val="none" w:sz="0" w:space="0" w:color="auto"/>
          </w:divBdr>
        </w:div>
        <w:div w:id="1876695570">
          <w:marLeft w:val="0"/>
          <w:marRight w:val="0"/>
          <w:marTop w:val="0"/>
          <w:marBottom w:val="0"/>
          <w:divBdr>
            <w:top w:val="none" w:sz="0" w:space="0" w:color="auto"/>
            <w:left w:val="none" w:sz="0" w:space="0" w:color="auto"/>
            <w:bottom w:val="none" w:sz="0" w:space="0" w:color="auto"/>
            <w:right w:val="none" w:sz="0" w:space="0" w:color="auto"/>
          </w:divBdr>
        </w:div>
        <w:div w:id="878013606">
          <w:marLeft w:val="0"/>
          <w:marRight w:val="0"/>
          <w:marTop w:val="0"/>
          <w:marBottom w:val="0"/>
          <w:divBdr>
            <w:top w:val="none" w:sz="0" w:space="0" w:color="auto"/>
            <w:left w:val="none" w:sz="0" w:space="0" w:color="auto"/>
            <w:bottom w:val="none" w:sz="0" w:space="0" w:color="auto"/>
            <w:right w:val="none" w:sz="0" w:space="0" w:color="auto"/>
          </w:divBdr>
        </w:div>
        <w:div w:id="921912721">
          <w:marLeft w:val="0"/>
          <w:marRight w:val="0"/>
          <w:marTop w:val="0"/>
          <w:marBottom w:val="0"/>
          <w:divBdr>
            <w:top w:val="none" w:sz="0" w:space="0" w:color="auto"/>
            <w:left w:val="none" w:sz="0" w:space="0" w:color="auto"/>
            <w:bottom w:val="none" w:sz="0" w:space="0" w:color="auto"/>
            <w:right w:val="none" w:sz="0" w:space="0" w:color="auto"/>
          </w:divBdr>
        </w:div>
        <w:div w:id="1450708481">
          <w:marLeft w:val="0"/>
          <w:marRight w:val="0"/>
          <w:marTop w:val="0"/>
          <w:marBottom w:val="0"/>
          <w:divBdr>
            <w:top w:val="none" w:sz="0" w:space="0" w:color="auto"/>
            <w:left w:val="none" w:sz="0" w:space="0" w:color="auto"/>
            <w:bottom w:val="none" w:sz="0" w:space="0" w:color="auto"/>
            <w:right w:val="none" w:sz="0" w:space="0" w:color="auto"/>
          </w:divBdr>
        </w:div>
        <w:div w:id="1305501060">
          <w:marLeft w:val="0"/>
          <w:marRight w:val="0"/>
          <w:marTop w:val="0"/>
          <w:marBottom w:val="0"/>
          <w:divBdr>
            <w:top w:val="none" w:sz="0" w:space="0" w:color="auto"/>
            <w:left w:val="none" w:sz="0" w:space="0" w:color="auto"/>
            <w:bottom w:val="none" w:sz="0" w:space="0" w:color="auto"/>
            <w:right w:val="none" w:sz="0" w:space="0" w:color="auto"/>
          </w:divBdr>
        </w:div>
        <w:div w:id="1149441950">
          <w:marLeft w:val="0"/>
          <w:marRight w:val="0"/>
          <w:marTop w:val="0"/>
          <w:marBottom w:val="0"/>
          <w:divBdr>
            <w:top w:val="none" w:sz="0" w:space="0" w:color="auto"/>
            <w:left w:val="none" w:sz="0" w:space="0" w:color="auto"/>
            <w:bottom w:val="none" w:sz="0" w:space="0" w:color="auto"/>
            <w:right w:val="none" w:sz="0" w:space="0" w:color="auto"/>
          </w:divBdr>
        </w:div>
        <w:div w:id="330648476">
          <w:marLeft w:val="0"/>
          <w:marRight w:val="0"/>
          <w:marTop w:val="0"/>
          <w:marBottom w:val="0"/>
          <w:divBdr>
            <w:top w:val="none" w:sz="0" w:space="0" w:color="auto"/>
            <w:left w:val="none" w:sz="0" w:space="0" w:color="auto"/>
            <w:bottom w:val="none" w:sz="0" w:space="0" w:color="auto"/>
            <w:right w:val="none" w:sz="0" w:space="0" w:color="auto"/>
          </w:divBdr>
        </w:div>
        <w:div w:id="900362787">
          <w:marLeft w:val="0"/>
          <w:marRight w:val="0"/>
          <w:marTop w:val="0"/>
          <w:marBottom w:val="0"/>
          <w:divBdr>
            <w:top w:val="none" w:sz="0" w:space="0" w:color="auto"/>
            <w:left w:val="none" w:sz="0" w:space="0" w:color="auto"/>
            <w:bottom w:val="none" w:sz="0" w:space="0" w:color="auto"/>
            <w:right w:val="none" w:sz="0" w:space="0" w:color="auto"/>
          </w:divBdr>
        </w:div>
        <w:div w:id="1540581832">
          <w:marLeft w:val="0"/>
          <w:marRight w:val="0"/>
          <w:marTop w:val="0"/>
          <w:marBottom w:val="0"/>
          <w:divBdr>
            <w:top w:val="none" w:sz="0" w:space="0" w:color="auto"/>
            <w:left w:val="none" w:sz="0" w:space="0" w:color="auto"/>
            <w:bottom w:val="none" w:sz="0" w:space="0" w:color="auto"/>
            <w:right w:val="none" w:sz="0" w:space="0" w:color="auto"/>
          </w:divBdr>
        </w:div>
        <w:div w:id="1333946935">
          <w:marLeft w:val="0"/>
          <w:marRight w:val="0"/>
          <w:marTop w:val="0"/>
          <w:marBottom w:val="0"/>
          <w:divBdr>
            <w:top w:val="none" w:sz="0" w:space="0" w:color="auto"/>
            <w:left w:val="none" w:sz="0" w:space="0" w:color="auto"/>
            <w:bottom w:val="none" w:sz="0" w:space="0" w:color="auto"/>
            <w:right w:val="none" w:sz="0" w:space="0" w:color="auto"/>
          </w:divBdr>
        </w:div>
        <w:div w:id="1605266725">
          <w:marLeft w:val="0"/>
          <w:marRight w:val="0"/>
          <w:marTop w:val="0"/>
          <w:marBottom w:val="0"/>
          <w:divBdr>
            <w:top w:val="none" w:sz="0" w:space="0" w:color="auto"/>
            <w:left w:val="none" w:sz="0" w:space="0" w:color="auto"/>
            <w:bottom w:val="none" w:sz="0" w:space="0" w:color="auto"/>
            <w:right w:val="none" w:sz="0" w:space="0" w:color="auto"/>
          </w:divBdr>
        </w:div>
        <w:div w:id="1296371941">
          <w:marLeft w:val="0"/>
          <w:marRight w:val="0"/>
          <w:marTop w:val="0"/>
          <w:marBottom w:val="0"/>
          <w:divBdr>
            <w:top w:val="none" w:sz="0" w:space="0" w:color="auto"/>
            <w:left w:val="none" w:sz="0" w:space="0" w:color="auto"/>
            <w:bottom w:val="none" w:sz="0" w:space="0" w:color="auto"/>
            <w:right w:val="none" w:sz="0" w:space="0" w:color="auto"/>
          </w:divBdr>
        </w:div>
        <w:div w:id="658920692">
          <w:marLeft w:val="0"/>
          <w:marRight w:val="0"/>
          <w:marTop w:val="0"/>
          <w:marBottom w:val="0"/>
          <w:divBdr>
            <w:top w:val="none" w:sz="0" w:space="0" w:color="auto"/>
            <w:left w:val="none" w:sz="0" w:space="0" w:color="auto"/>
            <w:bottom w:val="none" w:sz="0" w:space="0" w:color="auto"/>
            <w:right w:val="none" w:sz="0" w:space="0" w:color="auto"/>
          </w:divBdr>
        </w:div>
        <w:div w:id="1182742017">
          <w:marLeft w:val="0"/>
          <w:marRight w:val="0"/>
          <w:marTop w:val="0"/>
          <w:marBottom w:val="0"/>
          <w:divBdr>
            <w:top w:val="none" w:sz="0" w:space="0" w:color="auto"/>
            <w:left w:val="none" w:sz="0" w:space="0" w:color="auto"/>
            <w:bottom w:val="none" w:sz="0" w:space="0" w:color="auto"/>
            <w:right w:val="none" w:sz="0" w:space="0" w:color="auto"/>
          </w:divBdr>
        </w:div>
        <w:div w:id="1581913988">
          <w:marLeft w:val="0"/>
          <w:marRight w:val="0"/>
          <w:marTop w:val="0"/>
          <w:marBottom w:val="0"/>
          <w:divBdr>
            <w:top w:val="none" w:sz="0" w:space="0" w:color="auto"/>
            <w:left w:val="none" w:sz="0" w:space="0" w:color="auto"/>
            <w:bottom w:val="none" w:sz="0" w:space="0" w:color="auto"/>
            <w:right w:val="none" w:sz="0" w:space="0" w:color="auto"/>
          </w:divBdr>
        </w:div>
        <w:div w:id="1017001716">
          <w:marLeft w:val="0"/>
          <w:marRight w:val="0"/>
          <w:marTop w:val="0"/>
          <w:marBottom w:val="0"/>
          <w:divBdr>
            <w:top w:val="none" w:sz="0" w:space="0" w:color="auto"/>
            <w:left w:val="none" w:sz="0" w:space="0" w:color="auto"/>
            <w:bottom w:val="none" w:sz="0" w:space="0" w:color="auto"/>
            <w:right w:val="none" w:sz="0" w:space="0" w:color="auto"/>
          </w:divBdr>
        </w:div>
        <w:div w:id="1020005231">
          <w:marLeft w:val="0"/>
          <w:marRight w:val="0"/>
          <w:marTop w:val="0"/>
          <w:marBottom w:val="0"/>
          <w:divBdr>
            <w:top w:val="none" w:sz="0" w:space="0" w:color="auto"/>
            <w:left w:val="none" w:sz="0" w:space="0" w:color="auto"/>
            <w:bottom w:val="none" w:sz="0" w:space="0" w:color="auto"/>
            <w:right w:val="none" w:sz="0" w:space="0" w:color="auto"/>
          </w:divBdr>
        </w:div>
        <w:div w:id="965432782">
          <w:marLeft w:val="0"/>
          <w:marRight w:val="0"/>
          <w:marTop w:val="0"/>
          <w:marBottom w:val="0"/>
          <w:divBdr>
            <w:top w:val="none" w:sz="0" w:space="0" w:color="auto"/>
            <w:left w:val="none" w:sz="0" w:space="0" w:color="auto"/>
            <w:bottom w:val="none" w:sz="0" w:space="0" w:color="auto"/>
            <w:right w:val="none" w:sz="0" w:space="0" w:color="auto"/>
          </w:divBdr>
        </w:div>
        <w:div w:id="1600944072">
          <w:marLeft w:val="0"/>
          <w:marRight w:val="0"/>
          <w:marTop w:val="0"/>
          <w:marBottom w:val="0"/>
          <w:divBdr>
            <w:top w:val="none" w:sz="0" w:space="0" w:color="auto"/>
            <w:left w:val="none" w:sz="0" w:space="0" w:color="auto"/>
            <w:bottom w:val="none" w:sz="0" w:space="0" w:color="auto"/>
            <w:right w:val="none" w:sz="0" w:space="0" w:color="auto"/>
          </w:divBdr>
        </w:div>
      </w:divsChild>
    </w:div>
    <w:div w:id="1391272812">
      <w:bodyDiv w:val="1"/>
      <w:marLeft w:val="0"/>
      <w:marRight w:val="0"/>
      <w:marTop w:val="0"/>
      <w:marBottom w:val="0"/>
      <w:divBdr>
        <w:top w:val="none" w:sz="0" w:space="0" w:color="auto"/>
        <w:left w:val="none" w:sz="0" w:space="0" w:color="auto"/>
        <w:bottom w:val="none" w:sz="0" w:space="0" w:color="auto"/>
        <w:right w:val="none" w:sz="0" w:space="0" w:color="auto"/>
      </w:divBdr>
      <w:divsChild>
        <w:div w:id="1718042454">
          <w:marLeft w:val="0"/>
          <w:marRight w:val="0"/>
          <w:marTop w:val="0"/>
          <w:marBottom w:val="0"/>
          <w:divBdr>
            <w:top w:val="none" w:sz="0" w:space="0" w:color="auto"/>
            <w:left w:val="none" w:sz="0" w:space="0" w:color="auto"/>
            <w:bottom w:val="none" w:sz="0" w:space="0" w:color="auto"/>
            <w:right w:val="none" w:sz="0" w:space="0" w:color="auto"/>
          </w:divBdr>
        </w:div>
        <w:div w:id="1902212062">
          <w:marLeft w:val="0"/>
          <w:marRight w:val="0"/>
          <w:marTop w:val="0"/>
          <w:marBottom w:val="0"/>
          <w:divBdr>
            <w:top w:val="none" w:sz="0" w:space="0" w:color="auto"/>
            <w:left w:val="none" w:sz="0" w:space="0" w:color="auto"/>
            <w:bottom w:val="none" w:sz="0" w:space="0" w:color="auto"/>
            <w:right w:val="none" w:sz="0" w:space="0" w:color="auto"/>
          </w:divBdr>
        </w:div>
        <w:div w:id="709573226">
          <w:marLeft w:val="0"/>
          <w:marRight w:val="0"/>
          <w:marTop w:val="0"/>
          <w:marBottom w:val="0"/>
          <w:divBdr>
            <w:top w:val="none" w:sz="0" w:space="0" w:color="auto"/>
            <w:left w:val="none" w:sz="0" w:space="0" w:color="auto"/>
            <w:bottom w:val="none" w:sz="0" w:space="0" w:color="auto"/>
            <w:right w:val="none" w:sz="0" w:space="0" w:color="auto"/>
          </w:divBdr>
        </w:div>
        <w:div w:id="262615177">
          <w:marLeft w:val="0"/>
          <w:marRight w:val="0"/>
          <w:marTop w:val="0"/>
          <w:marBottom w:val="0"/>
          <w:divBdr>
            <w:top w:val="none" w:sz="0" w:space="0" w:color="auto"/>
            <w:left w:val="none" w:sz="0" w:space="0" w:color="auto"/>
            <w:bottom w:val="none" w:sz="0" w:space="0" w:color="auto"/>
            <w:right w:val="none" w:sz="0" w:space="0" w:color="auto"/>
          </w:divBdr>
        </w:div>
        <w:div w:id="195116874">
          <w:marLeft w:val="0"/>
          <w:marRight w:val="0"/>
          <w:marTop w:val="0"/>
          <w:marBottom w:val="0"/>
          <w:divBdr>
            <w:top w:val="none" w:sz="0" w:space="0" w:color="auto"/>
            <w:left w:val="none" w:sz="0" w:space="0" w:color="auto"/>
            <w:bottom w:val="none" w:sz="0" w:space="0" w:color="auto"/>
            <w:right w:val="none" w:sz="0" w:space="0" w:color="auto"/>
          </w:divBdr>
        </w:div>
        <w:div w:id="81950640">
          <w:marLeft w:val="0"/>
          <w:marRight w:val="0"/>
          <w:marTop w:val="0"/>
          <w:marBottom w:val="0"/>
          <w:divBdr>
            <w:top w:val="none" w:sz="0" w:space="0" w:color="auto"/>
            <w:left w:val="none" w:sz="0" w:space="0" w:color="auto"/>
            <w:bottom w:val="none" w:sz="0" w:space="0" w:color="auto"/>
            <w:right w:val="none" w:sz="0" w:space="0" w:color="auto"/>
          </w:divBdr>
        </w:div>
        <w:div w:id="1310283574">
          <w:marLeft w:val="0"/>
          <w:marRight w:val="0"/>
          <w:marTop w:val="0"/>
          <w:marBottom w:val="0"/>
          <w:divBdr>
            <w:top w:val="none" w:sz="0" w:space="0" w:color="auto"/>
            <w:left w:val="none" w:sz="0" w:space="0" w:color="auto"/>
            <w:bottom w:val="none" w:sz="0" w:space="0" w:color="auto"/>
            <w:right w:val="none" w:sz="0" w:space="0" w:color="auto"/>
          </w:divBdr>
        </w:div>
      </w:divsChild>
    </w:div>
    <w:div w:id="1458641433">
      <w:bodyDiv w:val="1"/>
      <w:marLeft w:val="0"/>
      <w:marRight w:val="0"/>
      <w:marTop w:val="0"/>
      <w:marBottom w:val="0"/>
      <w:divBdr>
        <w:top w:val="none" w:sz="0" w:space="0" w:color="auto"/>
        <w:left w:val="none" w:sz="0" w:space="0" w:color="auto"/>
        <w:bottom w:val="none" w:sz="0" w:space="0" w:color="auto"/>
        <w:right w:val="none" w:sz="0" w:space="0" w:color="auto"/>
      </w:divBdr>
      <w:divsChild>
        <w:div w:id="1773892506">
          <w:marLeft w:val="0"/>
          <w:marRight w:val="0"/>
          <w:marTop w:val="0"/>
          <w:marBottom w:val="0"/>
          <w:divBdr>
            <w:top w:val="none" w:sz="0" w:space="0" w:color="auto"/>
            <w:left w:val="none" w:sz="0" w:space="0" w:color="auto"/>
            <w:bottom w:val="none" w:sz="0" w:space="0" w:color="auto"/>
            <w:right w:val="none" w:sz="0" w:space="0" w:color="auto"/>
          </w:divBdr>
        </w:div>
        <w:div w:id="5793482">
          <w:marLeft w:val="0"/>
          <w:marRight w:val="0"/>
          <w:marTop w:val="0"/>
          <w:marBottom w:val="0"/>
          <w:divBdr>
            <w:top w:val="none" w:sz="0" w:space="0" w:color="auto"/>
            <w:left w:val="none" w:sz="0" w:space="0" w:color="auto"/>
            <w:bottom w:val="none" w:sz="0" w:space="0" w:color="auto"/>
            <w:right w:val="none" w:sz="0" w:space="0" w:color="auto"/>
          </w:divBdr>
        </w:div>
        <w:div w:id="76489728">
          <w:marLeft w:val="0"/>
          <w:marRight w:val="0"/>
          <w:marTop w:val="0"/>
          <w:marBottom w:val="0"/>
          <w:divBdr>
            <w:top w:val="none" w:sz="0" w:space="0" w:color="auto"/>
            <w:left w:val="none" w:sz="0" w:space="0" w:color="auto"/>
            <w:bottom w:val="none" w:sz="0" w:space="0" w:color="auto"/>
            <w:right w:val="none" w:sz="0" w:space="0" w:color="auto"/>
          </w:divBdr>
        </w:div>
        <w:div w:id="790629814">
          <w:marLeft w:val="0"/>
          <w:marRight w:val="0"/>
          <w:marTop w:val="0"/>
          <w:marBottom w:val="0"/>
          <w:divBdr>
            <w:top w:val="none" w:sz="0" w:space="0" w:color="auto"/>
            <w:left w:val="none" w:sz="0" w:space="0" w:color="auto"/>
            <w:bottom w:val="none" w:sz="0" w:space="0" w:color="auto"/>
            <w:right w:val="none" w:sz="0" w:space="0" w:color="auto"/>
          </w:divBdr>
        </w:div>
        <w:div w:id="305547710">
          <w:marLeft w:val="0"/>
          <w:marRight w:val="0"/>
          <w:marTop w:val="0"/>
          <w:marBottom w:val="0"/>
          <w:divBdr>
            <w:top w:val="none" w:sz="0" w:space="0" w:color="auto"/>
            <w:left w:val="none" w:sz="0" w:space="0" w:color="auto"/>
            <w:bottom w:val="none" w:sz="0" w:space="0" w:color="auto"/>
            <w:right w:val="none" w:sz="0" w:space="0" w:color="auto"/>
          </w:divBdr>
        </w:div>
        <w:div w:id="743795344">
          <w:marLeft w:val="0"/>
          <w:marRight w:val="0"/>
          <w:marTop w:val="0"/>
          <w:marBottom w:val="0"/>
          <w:divBdr>
            <w:top w:val="none" w:sz="0" w:space="0" w:color="auto"/>
            <w:left w:val="none" w:sz="0" w:space="0" w:color="auto"/>
            <w:bottom w:val="none" w:sz="0" w:space="0" w:color="auto"/>
            <w:right w:val="none" w:sz="0" w:space="0" w:color="auto"/>
          </w:divBdr>
        </w:div>
        <w:div w:id="1351106069">
          <w:marLeft w:val="0"/>
          <w:marRight w:val="0"/>
          <w:marTop w:val="0"/>
          <w:marBottom w:val="0"/>
          <w:divBdr>
            <w:top w:val="none" w:sz="0" w:space="0" w:color="auto"/>
            <w:left w:val="none" w:sz="0" w:space="0" w:color="auto"/>
            <w:bottom w:val="none" w:sz="0" w:space="0" w:color="auto"/>
            <w:right w:val="none" w:sz="0" w:space="0" w:color="auto"/>
          </w:divBdr>
        </w:div>
        <w:div w:id="1049692447">
          <w:marLeft w:val="0"/>
          <w:marRight w:val="0"/>
          <w:marTop w:val="0"/>
          <w:marBottom w:val="0"/>
          <w:divBdr>
            <w:top w:val="none" w:sz="0" w:space="0" w:color="auto"/>
            <w:left w:val="none" w:sz="0" w:space="0" w:color="auto"/>
            <w:bottom w:val="none" w:sz="0" w:space="0" w:color="auto"/>
            <w:right w:val="none" w:sz="0" w:space="0" w:color="auto"/>
          </w:divBdr>
        </w:div>
        <w:div w:id="1810434478">
          <w:marLeft w:val="0"/>
          <w:marRight w:val="0"/>
          <w:marTop w:val="0"/>
          <w:marBottom w:val="0"/>
          <w:divBdr>
            <w:top w:val="none" w:sz="0" w:space="0" w:color="auto"/>
            <w:left w:val="none" w:sz="0" w:space="0" w:color="auto"/>
            <w:bottom w:val="none" w:sz="0" w:space="0" w:color="auto"/>
            <w:right w:val="none" w:sz="0" w:space="0" w:color="auto"/>
          </w:divBdr>
        </w:div>
        <w:div w:id="1754469742">
          <w:marLeft w:val="0"/>
          <w:marRight w:val="0"/>
          <w:marTop w:val="0"/>
          <w:marBottom w:val="0"/>
          <w:divBdr>
            <w:top w:val="none" w:sz="0" w:space="0" w:color="auto"/>
            <w:left w:val="none" w:sz="0" w:space="0" w:color="auto"/>
            <w:bottom w:val="none" w:sz="0" w:space="0" w:color="auto"/>
            <w:right w:val="none" w:sz="0" w:space="0" w:color="auto"/>
          </w:divBdr>
        </w:div>
        <w:div w:id="458687010">
          <w:marLeft w:val="0"/>
          <w:marRight w:val="0"/>
          <w:marTop w:val="0"/>
          <w:marBottom w:val="0"/>
          <w:divBdr>
            <w:top w:val="none" w:sz="0" w:space="0" w:color="auto"/>
            <w:left w:val="none" w:sz="0" w:space="0" w:color="auto"/>
            <w:bottom w:val="none" w:sz="0" w:space="0" w:color="auto"/>
            <w:right w:val="none" w:sz="0" w:space="0" w:color="auto"/>
          </w:divBdr>
        </w:div>
        <w:div w:id="1685591266">
          <w:marLeft w:val="0"/>
          <w:marRight w:val="0"/>
          <w:marTop w:val="0"/>
          <w:marBottom w:val="0"/>
          <w:divBdr>
            <w:top w:val="none" w:sz="0" w:space="0" w:color="auto"/>
            <w:left w:val="none" w:sz="0" w:space="0" w:color="auto"/>
            <w:bottom w:val="none" w:sz="0" w:space="0" w:color="auto"/>
            <w:right w:val="none" w:sz="0" w:space="0" w:color="auto"/>
          </w:divBdr>
        </w:div>
        <w:div w:id="906114115">
          <w:marLeft w:val="0"/>
          <w:marRight w:val="0"/>
          <w:marTop w:val="0"/>
          <w:marBottom w:val="0"/>
          <w:divBdr>
            <w:top w:val="none" w:sz="0" w:space="0" w:color="auto"/>
            <w:left w:val="none" w:sz="0" w:space="0" w:color="auto"/>
            <w:bottom w:val="none" w:sz="0" w:space="0" w:color="auto"/>
            <w:right w:val="none" w:sz="0" w:space="0" w:color="auto"/>
          </w:divBdr>
        </w:div>
        <w:div w:id="1978026275">
          <w:marLeft w:val="0"/>
          <w:marRight w:val="0"/>
          <w:marTop w:val="0"/>
          <w:marBottom w:val="0"/>
          <w:divBdr>
            <w:top w:val="none" w:sz="0" w:space="0" w:color="auto"/>
            <w:left w:val="none" w:sz="0" w:space="0" w:color="auto"/>
            <w:bottom w:val="none" w:sz="0" w:space="0" w:color="auto"/>
            <w:right w:val="none" w:sz="0" w:space="0" w:color="auto"/>
          </w:divBdr>
        </w:div>
      </w:divsChild>
    </w:div>
    <w:div w:id="1477531667">
      <w:bodyDiv w:val="1"/>
      <w:marLeft w:val="0"/>
      <w:marRight w:val="0"/>
      <w:marTop w:val="0"/>
      <w:marBottom w:val="0"/>
      <w:divBdr>
        <w:top w:val="none" w:sz="0" w:space="0" w:color="auto"/>
        <w:left w:val="none" w:sz="0" w:space="0" w:color="auto"/>
        <w:bottom w:val="none" w:sz="0" w:space="0" w:color="auto"/>
        <w:right w:val="none" w:sz="0" w:space="0" w:color="auto"/>
      </w:divBdr>
      <w:divsChild>
        <w:div w:id="2076856790">
          <w:marLeft w:val="0"/>
          <w:marRight w:val="0"/>
          <w:marTop w:val="0"/>
          <w:marBottom w:val="0"/>
          <w:divBdr>
            <w:top w:val="none" w:sz="0" w:space="0" w:color="auto"/>
            <w:left w:val="none" w:sz="0" w:space="0" w:color="auto"/>
            <w:bottom w:val="none" w:sz="0" w:space="0" w:color="auto"/>
            <w:right w:val="none" w:sz="0" w:space="0" w:color="auto"/>
          </w:divBdr>
        </w:div>
        <w:div w:id="342584853">
          <w:marLeft w:val="0"/>
          <w:marRight w:val="0"/>
          <w:marTop w:val="0"/>
          <w:marBottom w:val="0"/>
          <w:divBdr>
            <w:top w:val="none" w:sz="0" w:space="0" w:color="auto"/>
            <w:left w:val="none" w:sz="0" w:space="0" w:color="auto"/>
            <w:bottom w:val="none" w:sz="0" w:space="0" w:color="auto"/>
            <w:right w:val="none" w:sz="0" w:space="0" w:color="auto"/>
          </w:divBdr>
        </w:div>
        <w:div w:id="1113786967">
          <w:marLeft w:val="0"/>
          <w:marRight w:val="0"/>
          <w:marTop w:val="0"/>
          <w:marBottom w:val="0"/>
          <w:divBdr>
            <w:top w:val="none" w:sz="0" w:space="0" w:color="auto"/>
            <w:left w:val="none" w:sz="0" w:space="0" w:color="auto"/>
            <w:bottom w:val="none" w:sz="0" w:space="0" w:color="auto"/>
            <w:right w:val="none" w:sz="0" w:space="0" w:color="auto"/>
          </w:divBdr>
        </w:div>
        <w:div w:id="635794305">
          <w:marLeft w:val="0"/>
          <w:marRight w:val="0"/>
          <w:marTop w:val="0"/>
          <w:marBottom w:val="0"/>
          <w:divBdr>
            <w:top w:val="none" w:sz="0" w:space="0" w:color="auto"/>
            <w:left w:val="none" w:sz="0" w:space="0" w:color="auto"/>
            <w:bottom w:val="none" w:sz="0" w:space="0" w:color="auto"/>
            <w:right w:val="none" w:sz="0" w:space="0" w:color="auto"/>
          </w:divBdr>
        </w:div>
        <w:div w:id="1184444066">
          <w:marLeft w:val="0"/>
          <w:marRight w:val="0"/>
          <w:marTop w:val="0"/>
          <w:marBottom w:val="0"/>
          <w:divBdr>
            <w:top w:val="none" w:sz="0" w:space="0" w:color="auto"/>
            <w:left w:val="none" w:sz="0" w:space="0" w:color="auto"/>
            <w:bottom w:val="none" w:sz="0" w:space="0" w:color="auto"/>
            <w:right w:val="none" w:sz="0" w:space="0" w:color="auto"/>
          </w:divBdr>
        </w:div>
        <w:div w:id="303046221">
          <w:marLeft w:val="0"/>
          <w:marRight w:val="0"/>
          <w:marTop w:val="0"/>
          <w:marBottom w:val="0"/>
          <w:divBdr>
            <w:top w:val="none" w:sz="0" w:space="0" w:color="auto"/>
            <w:left w:val="none" w:sz="0" w:space="0" w:color="auto"/>
            <w:bottom w:val="none" w:sz="0" w:space="0" w:color="auto"/>
            <w:right w:val="none" w:sz="0" w:space="0" w:color="auto"/>
          </w:divBdr>
        </w:div>
        <w:div w:id="330571448">
          <w:marLeft w:val="0"/>
          <w:marRight w:val="0"/>
          <w:marTop w:val="0"/>
          <w:marBottom w:val="0"/>
          <w:divBdr>
            <w:top w:val="none" w:sz="0" w:space="0" w:color="auto"/>
            <w:left w:val="none" w:sz="0" w:space="0" w:color="auto"/>
            <w:bottom w:val="none" w:sz="0" w:space="0" w:color="auto"/>
            <w:right w:val="none" w:sz="0" w:space="0" w:color="auto"/>
          </w:divBdr>
        </w:div>
        <w:div w:id="165903234">
          <w:marLeft w:val="0"/>
          <w:marRight w:val="0"/>
          <w:marTop w:val="0"/>
          <w:marBottom w:val="0"/>
          <w:divBdr>
            <w:top w:val="none" w:sz="0" w:space="0" w:color="auto"/>
            <w:left w:val="none" w:sz="0" w:space="0" w:color="auto"/>
            <w:bottom w:val="none" w:sz="0" w:space="0" w:color="auto"/>
            <w:right w:val="none" w:sz="0" w:space="0" w:color="auto"/>
          </w:divBdr>
        </w:div>
        <w:div w:id="1293169187">
          <w:marLeft w:val="0"/>
          <w:marRight w:val="0"/>
          <w:marTop w:val="0"/>
          <w:marBottom w:val="0"/>
          <w:divBdr>
            <w:top w:val="none" w:sz="0" w:space="0" w:color="auto"/>
            <w:left w:val="none" w:sz="0" w:space="0" w:color="auto"/>
            <w:bottom w:val="none" w:sz="0" w:space="0" w:color="auto"/>
            <w:right w:val="none" w:sz="0" w:space="0" w:color="auto"/>
          </w:divBdr>
        </w:div>
        <w:div w:id="2074543477">
          <w:marLeft w:val="0"/>
          <w:marRight w:val="0"/>
          <w:marTop w:val="0"/>
          <w:marBottom w:val="0"/>
          <w:divBdr>
            <w:top w:val="none" w:sz="0" w:space="0" w:color="auto"/>
            <w:left w:val="none" w:sz="0" w:space="0" w:color="auto"/>
            <w:bottom w:val="none" w:sz="0" w:space="0" w:color="auto"/>
            <w:right w:val="none" w:sz="0" w:space="0" w:color="auto"/>
          </w:divBdr>
        </w:div>
      </w:divsChild>
    </w:div>
    <w:div w:id="1552107816">
      <w:bodyDiv w:val="1"/>
      <w:marLeft w:val="0"/>
      <w:marRight w:val="0"/>
      <w:marTop w:val="0"/>
      <w:marBottom w:val="0"/>
      <w:divBdr>
        <w:top w:val="none" w:sz="0" w:space="0" w:color="auto"/>
        <w:left w:val="none" w:sz="0" w:space="0" w:color="auto"/>
        <w:bottom w:val="none" w:sz="0" w:space="0" w:color="auto"/>
        <w:right w:val="none" w:sz="0" w:space="0" w:color="auto"/>
      </w:divBdr>
      <w:divsChild>
        <w:div w:id="1601596280">
          <w:marLeft w:val="-225"/>
          <w:marRight w:val="-225"/>
          <w:marTop w:val="0"/>
          <w:marBottom w:val="0"/>
          <w:divBdr>
            <w:top w:val="none" w:sz="0" w:space="0" w:color="auto"/>
            <w:left w:val="none" w:sz="0" w:space="0" w:color="auto"/>
            <w:bottom w:val="none" w:sz="0" w:space="0" w:color="auto"/>
            <w:right w:val="none" w:sz="0" w:space="0" w:color="auto"/>
          </w:divBdr>
          <w:divsChild>
            <w:div w:id="893808357">
              <w:marLeft w:val="0"/>
              <w:marRight w:val="0"/>
              <w:marTop w:val="0"/>
              <w:marBottom w:val="0"/>
              <w:divBdr>
                <w:top w:val="none" w:sz="0" w:space="0" w:color="auto"/>
                <w:left w:val="none" w:sz="0" w:space="0" w:color="auto"/>
                <w:bottom w:val="none" w:sz="0" w:space="0" w:color="auto"/>
                <w:right w:val="none" w:sz="0" w:space="0" w:color="auto"/>
              </w:divBdr>
              <w:divsChild>
                <w:div w:id="287441625">
                  <w:marLeft w:val="0"/>
                  <w:marRight w:val="0"/>
                  <w:marTop w:val="0"/>
                  <w:marBottom w:val="0"/>
                  <w:divBdr>
                    <w:top w:val="none" w:sz="0" w:space="0" w:color="auto"/>
                    <w:left w:val="none" w:sz="0" w:space="0" w:color="auto"/>
                    <w:bottom w:val="none" w:sz="0" w:space="0" w:color="auto"/>
                    <w:right w:val="none" w:sz="0" w:space="0" w:color="auto"/>
                  </w:divBdr>
                  <w:divsChild>
                    <w:div w:id="1852790659">
                      <w:marLeft w:val="0"/>
                      <w:marRight w:val="0"/>
                      <w:marTop w:val="0"/>
                      <w:marBottom w:val="0"/>
                      <w:divBdr>
                        <w:top w:val="single" w:sz="6" w:space="8" w:color="DDDDDD"/>
                        <w:left w:val="single" w:sz="6" w:space="11" w:color="DDDDDD"/>
                        <w:bottom w:val="single" w:sz="6" w:space="8" w:color="DDDDDD"/>
                        <w:right w:val="single" w:sz="6" w:space="11" w:color="DDDDDD"/>
                      </w:divBdr>
                      <w:divsChild>
                        <w:div w:id="865754510">
                          <w:marLeft w:val="0"/>
                          <w:marRight w:val="0"/>
                          <w:marTop w:val="0"/>
                          <w:marBottom w:val="0"/>
                          <w:divBdr>
                            <w:top w:val="none" w:sz="0" w:space="0" w:color="auto"/>
                            <w:left w:val="none" w:sz="0" w:space="0" w:color="auto"/>
                            <w:bottom w:val="none" w:sz="0" w:space="0" w:color="auto"/>
                            <w:right w:val="none" w:sz="0" w:space="0" w:color="auto"/>
                          </w:divBdr>
                        </w:div>
                        <w:div w:id="654771226">
                          <w:marLeft w:val="0"/>
                          <w:marRight w:val="0"/>
                          <w:marTop w:val="0"/>
                          <w:marBottom w:val="0"/>
                          <w:divBdr>
                            <w:top w:val="none" w:sz="0" w:space="0" w:color="auto"/>
                            <w:left w:val="none" w:sz="0" w:space="0" w:color="auto"/>
                            <w:bottom w:val="none" w:sz="0" w:space="0" w:color="auto"/>
                            <w:right w:val="none" w:sz="0" w:space="0" w:color="auto"/>
                          </w:divBdr>
                        </w:div>
                        <w:div w:id="1832134469">
                          <w:marLeft w:val="0"/>
                          <w:marRight w:val="0"/>
                          <w:marTop w:val="0"/>
                          <w:marBottom w:val="0"/>
                          <w:divBdr>
                            <w:top w:val="none" w:sz="0" w:space="0" w:color="auto"/>
                            <w:left w:val="none" w:sz="0" w:space="0" w:color="auto"/>
                            <w:bottom w:val="none" w:sz="0" w:space="0" w:color="auto"/>
                            <w:right w:val="none" w:sz="0" w:space="0" w:color="auto"/>
                          </w:divBdr>
                        </w:div>
                        <w:div w:id="315845390">
                          <w:marLeft w:val="0"/>
                          <w:marRight w:val="0"/>
                          <w:marTop w:val="0"/>
                          <w:marBottom w:val="0"/>
                          <w:divBdr>
                            <w:top w:val="none" w:sz="0" w:space="0" w:color="auto"/>
                            <w:left w:val="none" w:sz="0" w:space="0" w:color="auto"/>
                            <w:bottom w:val="none" w:sz="0" w:space="0" w:color="auto"/>
                            <w:right w:val="none" w:sz="0" w:space="0" w:color="auto"/>
                          </w:divBdr>
                        </w:div>
                        <w:div w:id="218133545">
                          <w:marLeft w:val="0"/>
                          <w:marRight w:val="0"/>
                          <w:marTop w:val="0"/>
                          <w:marBottom w:val="0"/>
                          <w:divBdr>
                            <w:top w:val="none" w:sz="0" w:space="0" w:color="auto"/>
                            <w:left w:val="none" w:sz="0" w:space="0" w:color="auto"/>
                            <w:bottom w:val="none" w:sz="0" w:space="0" w:color="auto"/>
                            <w:right w:val="none" w:sz="0" w:space="0" w:color="auto"/>
                          </w:divBdr>
                        </w:div>
                        <w:div w:id="1970936266">
                          <w:marLeft w:val="0"/>
                          <w:marRight w:val="0"/>
                          <w:marTop w:val="0"/>
                          <w:marBottom w:val="0"/>
                          <w:divBdr>
                            <w:top w:val="none" w:sz="0" w:space="0" w:color="auto"/>
                            <w:left w:val="none" w:sz="0" w:space="0" w:color="auto"/>
                            <w:bottom w:val="none" w:sz="0" w:space="0" w:color="auto"/>
                            <w:right w:val="none" w:sz="0" w:space="0" w:color="auto"/>
                          </w:divBdr>
                        </w:div>
                      </w:divsChild>
                    </w:div>
                    <w:div w:id="1506628754">
                      <w:marLeft w:val="0"/>
                      <w:marRight w:val="0"/>
                      <w:marTop w:val="0"/>
                      <w:marBottom w:val="0"/>
                      <w:divBdr>
                        <w:top w:val="none" w:sz="0" w:space="0" w:color="auto"/>
                        <w:left w:val="none" w:sz="0" w:space="0" w:color="auto"/>
                        <w:bottom w:val="none" w:sz="0" w:space="0" w:color="auto"/>
                        <w:right w:val="none" w:sz="0" w:space="0" w:color="auto"/>
                      </w:divBdr>
                      <w:divsChild>
                        <w:div w:id="17731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437412">
          <w:marLeft w:val="0"/>
          <w:marRight w:val="0"/>
          <w:marTop w:val="0"/>
          <w:marBottom w:val="0"/>
          <w:divBdr>
            <w:top w:val="none" w:sz="0" w:space="0" w:color="auto"/>
            <w:left w:val="none" w:sz="0" w:space="0" w:color="auto"/>
            <w:bottom w:val="none" w:sz="0" w:space="0" w:color="auto"/>
            <w:right w:val="none" w:sz="0" w:space="0" w:color="auto"/>
          </w:divBdr>
        </w:div>
        <w:div w:id="1857379754">
          <w:marLeft w:val="0"/>
          <w:marRight w:val="0"/>
          <w:marTop w:val="225"/>
          <w:marBottom w:val="0"/>
          <w:divBdr>
            <w:top w:val="none" w:sz="0" w:space="0" w:color="auto"/>
            <w:left w:val="none" w:sz="0" w:space="0" w:color="auto"/>
            <w:bottom w:val="none" w:sz="0" w:space="0" w:color="auto"/>
            <w:right w:val="none" w:sz="0" w:space="0" w:color="auto"/>
          </w:divBdr>
        </w:div>
      </w:divsChild>
    </w:div>
    <w:div w:id="1579360518">
      <w:bodyDiv w:val="1"/>
      <w:marLeft w:val="0"/>
      <w:marRight w:val="0"/>
      <w:marTop w:val="0"/>
      <w:marBottom w:val="0"/>
      <w:divBdr>
        <w:top w:val="none" w:sz="0" w:space="0" w:color="auto"/>
        <w:left w:val="none" w:sz="0" w:space="0" w:color="auto"/>
        <w:bottom w:val="none" w:sz="0" w:space="0" w:color="auto"/>
        <w:right w:val="none" w:sz="0" w:space="0" w:color="auto"/>
      </w:divBdr>
      <w:divsChild>
        <w:div w:id="2133860277">
          <w:marLeft w:val="0"/>
          <w:marRight w:val="0"/>
          <w:marTop w:val="0"/>
          <w:marBottom w:val="0"/>
          <w:divBdr>
            <w:top w:val="none" w:sz="0" w:space="0" w:color="auto"/>
            <w:left w:val="none" w:sz="0" w:space="0" w:color="auto"/>
            <w:bottom w:val="none" w:sz="0" w:space="0" w:color="auto"/>
            <w:right w:val="none" w:sz="0" w:space="0" w:color="auto"/>
          </w:divBdr>
        </w:div>
        <w:div w:id="1669559858">
          <w:marLeft w:val="0"/>
          <w:marRight w:val="0"/>
          <w:marTop w:val="0"/>
          <w:marBottom w:val="0"/>
          <w:divBdr>
            <w:top w:val="none" w:sz="0" w:space="0" w:color="auto"/>
            <w:left w:val="none" w:sz="0" w:space="0" w:color="auto"/>
            <w:bottom w:val="none" w:sz="0" w:space="0" w:color="auto"/>
            <w:right w:val="none" w:sz="0" w:space="0" w:color="auto"/>
          </w:divBdr>
        </w:div>
        <w:div w:id="362904979">
          <w:marLeft w:val="0"/>
          <w:marRight w:val="0"/>
          <w:marTop w:val="0"/>
          <w:marBottom w:val="0"/>
          <w:divBdr>
            <w:top w:val="none" w:sz="0" w:space="0" w:color="auto"/>
            <w:left w:val="none" w:sz="0" w:space="0" w:color="auto"/>
            <w:bottom w:val="none" w:sz="0" w:space="0" w:color="auto"/>
            <w:right w:val="none" w:sz="0" w:space="0" w:color="auto"/>
          </w:divBdr>
        </w:div>
        <w:div w:id="692347346">
          <w:marLeft w:val="0"/>
          <w:marRight w:val="0"/>
          <w:marTop w:val="0"/>
          <w:marBottom w:val="0"/>
          <w:divBdr>
            <w:top w:val="none" w:sz="0" w:space="0" w:color="auto"/>
            <w:left w:val="none" w:sz="0" w:space="0" w:color="auto"/>
            <w:bottom w:val="none" w:sz="0" w:space="0" w:color="auto"/>
            <w:right w:val="none" w:sz="0" w:space="0" w:color="auto"/>
          </w:divBdr>
        </w:div>
        <w:div w:id="1337610407">
          <w:marLeft w:val="0"/>
          <w:marRight w:val="0"/>
          <w:marTop w:val="0"/>
          <w:marBottom w:val="0"/>
          <w:divBdr>
            <w:top w:val="none" w:sz="0" w:space="0" w:color="auto"/>
            <w:left w:val="none" w:sz="0" w:space="0" w:color="auto"/>
            <w:bottom w:val="none" w:sz="0" w:space="0" w:color="auto"/>
            <w:right w:val="none" w:sz="0" w:space="0" w:color="auto"/>
          </w:divBdr>
        </w:div>
        <w:div w:id="926155542">
          <w:marLeft w:val="0"/>
          <w:marRight w:val="0"/>
          <w:marTop w:val="0"/>
          <w:marBottom w:val="0"/>
          <w:divBdr>
            <w:top w:val="none" w:sz="0" w:space="0" w:color="auto"/>
            <w:left w:val="none" w:sz="0" w:space="0" w:color="auto"/>
            <w:bottom w:val="none" w:sz="0" w:space="0" w:color="auto"/>
            <w:right w:val="none" w:sz="0" w:space="0" w:color="auto"/>
          </w:divBdr>
        </w:div>
        <w:div w:id="1892109982">
          <w:marLeft w:val="0"/>
          <w:marRight w:val="0"/>
          <w:marTop w:val="0"/>
          <w:marBottom w:val="0"/>
          <w:divBdr>
            <w:top w:val="none" w:sz="0" w:space="0" w:color="auto"/>
            <w:left w:val="none" w:sz="0" w:space="0" w:color="auto"/>
            <w:bottom w:val="none" w:sz="0" w:space="0" w:color="auto"/>
            <w:right w:val="none" w:sz="0" w:space="0" w:color="auto"/>
          </w:divBdr>
        </w:div>
        <w:div w:id="833301004">
          <w:marLeft w:val="0"/>
          <w:marRight w:val="0"/>
          <w:marTop w:val="0"/>
          <w:marBottom w:val="0"/>
          <w:divBdr>
            <w:top w:val="none" w:sz="0" w:space="0" w:color="auto"/>
            <w:left w:val="none" w:sz="0" w:space="0" w:color="auto"/>
            <w:bottom w:val="none" w:sz="0" w:space="0" w:color="auto"/>
            <w:right w:val="none" w:sz="0" w:space="0" w:color="auto"/>
          </w:divBdr>
        </w:div>
        <w:div w:id="818156419">
          <w:marLeft w:val="0"/>
          <w:marRight w:val="0"/>
          <w:marTop w:val="0"/>
          <w:marBottom w:val="0"/>
          <w:divBdr>
            <w:top w:val="none" w:sz="0" w:space="0" w:color="auto"/>
            <w:left w:val="none" w:sz="0" w:space="0" w:color="auto"/>
            <w:bottom w:val="none" w:sz="0" w:space="0" w:color="auto"/>
            <w:right w:val="none" w:sz="0" w:space="0" w:color="auto"/>
          </w:divBdr>
        </w:div>
        <w:div w:id="248781557">
          <w:marLeft w:val="0"/>
          <w:marRight w:val="0"/>
          <w:marTop w:val="0"/>
          <w:marBottom w:val="0"/>
          <w:divBdr>
            <w:top w:val="none" w:sz="0" w:space="0" w:color="auto"/>
            <w:left w:val="none" w:sz="0" w:space="0" w:color="auto"/>
            <w:bottom w:val="none" w:sz="0" w:space="0" w:color="auto"/>
            <w:right w:val="none" w:sz="0" w:space="0" w:color="auto"/>
          </w:divBdr>
        </w:div>
        <w:div w:id="856120520">
          <w:marLeft w:val="0"/>
          <w:marRight w:val="0"/>
          <w:marTop w:val="0"/>
          <w:marBottom w:val="0"/>
          <w:divBdr>
            <w:top w:val="none" w:sz="0" w:space="0" w:color="auto"/>
            <w:left w:val="none" w:sz="0" w:space="0" w:color="auto"/>
            <w:bottom w:val="none" w:sz="0" w:space="0" w:color="auto"/>
            <w:right w:val="none" w:sz="0" w:space="0" w:color="auto"/>
          </w:divBdr>
        </w:div>
        <w:div w:id="251474738">
          <w:marLeft w:val="0"/>
          <w:marRight w:val="0"/>
          <w:marTop w:val="0"/>
          <w:marBottom w:val="0"/>
          <w:divBdr>
            <w:top w:val="none" w:sz="0" w:space="0" w:color="auto"/>
            <w:left w:val="none" w:sz="0" w:space="0" w:color="auto"/>
            <w:bottom w:val="none" w:sz="0" w:space="0" w:color="auto"/>
            <w:right w:val="none" w:sz="0" w:space="0" w:color="auto"/>
          </w:divBdr>
        </w:div>
        <w:div w:id="172956019">
          <w:marLeft w:val="0"/>
          <w:marRight w:val="0"/>
          <w:marTop w:val="0"/>
          <w:marBottom w:val="0"/>
          <w:divBdr>
            <w:top w:val="none" w:sz="0" w:space="0" w:color="auto"/>
            <w:left w:val="none" w:sz="0" w:space="0" w:color="auto"/>
            <w:bottom w:val="none" w:sz="0" w:space="0" w:color="auto"/>
            <w:right w:val="none" w:sz="0" w:space="0" w:color="auto"/>
          </w:divBdr>
        </w:div>
        <w:div w:id="1479617003">
          <w:marLeft w:val="0"/>
          <w:marRight w:val="0"/>
          <w:marTop w:val="0"/>
          <w:marBottom w:val="0"/>
          <w:divBdr>
            <w:top w:val="none" w:sz="0" w:space="0" w:color="auto"/>
            <w:left w:val="none" w:sz="0" w:space="0" w:color="auto"/>
            <w:bottom w:val="none" w:sz="0" w:space="0" w:color="auto"/>
            <w:right w:val="none" w:sz="0" w:space="0" w:color="auto"/>
          </w:divBdr>
        </w:div>
        <w:div w:id="835803263">
          <w:marLeft w:val="0"/>
          <w:marRight w:val="0"/>
          <w:marTop w:val="0"/>
          <w:marBottom w:val="0"/>
          <w:divBdr>
            <w:top w:val="none" w:sz="0" w:space="0" w:color="auto"/>
            <w:left w:val="none" w:sz="0" w:space="0" w:color="auto"/>
            <w:bottom w:val="none" w:sz="0" w:space="0" w:color="auto"/>
            <w:right w:val="none" w:sz="0" w:space="0" w:color="auto"/>
          </w:divBdr>
        </w:div>
        <w:div w:id="644701337">
          <w:marLeft w:val="0"/>
          <w:marRight w:val="0"/>
          <w:marTop w:val="0"/>
          <w:marBottom w:val="0"/>
          <w:divBdr>
            <w:top w:val="none" w:sz="0" w:space="0" w:color="auto"/>
            <w:left w:val="none" w:sz="0" w:space="0" w:color="auto"/>
            <w:bottom w:val="none" w:sz="0" w:space="0" w:color="auto"/>
            <w:right w:val="none" w:sz="0" w:space="0" w:color="auto"/>
          </w:divBdr>
        </w:div>
        <w:div w:id="180516679">
          <w:marLeft w:val="0"/>
          <w:marRight w:val="0"/>
          <w:marTop w:val="0"/>
          <w:marBottom w:val="0"/>
          <w:divBdr>
            <w:top w:val="none" w:sz="0" w:space="0" w:color="auto"/>
            <w:left w:val="none" w:sz="0" w:space="0" w:color="auto"/>
            <w:bottom w:val="none" w:sz="0" w:space="0" w:color="auto"/>
            <w:right w:val="none" w:sz="0" w:space="0" w:color="auto"/>
          </w:divBdr>
        </w:div>
        <w:div w:id="242298079">
          <w:marLeft w:val="0"/>
          <w:marRight w:val="0"/>
          <w:marTop w:val="0"/>
          <w:marBottom w:val="0"/>
          <w:divBdr>
            <w:top w:val="none" w:sz="0" w:space="0" w:color="auto"/>
            <w:left w:val="none" w:sz="0" w:space="0" w:color="auto"/>
            <w:bottom w:val="none" w:sz="0" w:space="0" w:color="auto"/>
            <w:right w:val="none" w:sz="0" w:space="0" w:color="auto"/>
          </w:divBdr>
        </w:div>
        <w:div w:id="1773626206">
          <w:marLeft w:val="0"/>
          <w:marRight w:val="0"/>
          <w:marTop w:val="0"/>
          <w:marBottom w:val="0"/>
          <w:divBdr>
            <w:top w:val="none" w:sz="0" w:space="0" w:color="auto"/>
            <w:left w:val="none" w:sz="0" w:space="0" w:color="auto"/>
            <w:bottom w:val="none" w:sz="0" w:space="0" w:color="auto"/>
            <w:right w:val="none" w:sz="0" w:space="0" w:color="auto"/>
          </w:divBdr>
        </w:div>
        <w:div w:id="609748459">
          <w:marLeft w:val="0"/>
          <w:marRight w:val="0"/>
          <w:marTop w:val="0"/>
          <w:marBottom w:val="0"/>
          <w:divBdr>
            <w:top w:val="none" w:sz="0" w:space="0" w:color="auto"/>
            <w:left w:val="none" w:sz="0" w:space="0" w:color="auto"/>
            <w:bottom w:val="none" w:sz="0" w:space="0" w:color="auto"/>
            <w:right w:val="none" w:sz="0" w:space="0" w:color="auto"/>
          </w:divBdr>
        </w:div>
        <w:div w:id="462431467">
          <w:marLeft w:val="0"/>
          <w:marRight w:val="0"/>
          <w:marTop w:val="0"/>
          <w:marBottom w:val="0"/>
          <w:divBdr>
            <w:top w:val="none" w:sz="0" w:space="0" w:color="auto"/>
            <w:left w:val="none" w:sz="0" w:space="0" w:color="auto"/>
            <w:bottom w:val="none" w:sz="0" w:space="0" w:color="auto"/>
            <w:right w:val="none" w:sz="0" w:space="0" w:color="auto"/>
          </w:divBdr>
        </w:div>
        <w:div w:id="1529022293">
          <w:marLeft w:val="0"/>
          <w:marRight w:val="0"/>
          <w:marTop w:val="0"/>
          <w:marBottom w:val="0"/>
          <w:divBdr>
            <w:top w:val="none" w:sz="0" w:space="0" w:color="auto"/>
            <w:left w:val="none" w:sz="0" w:space="0" w:color="auto"/>
            <w:bottom w:val="none" w:sz="0" w:space="0" w:color="auto"/>
            <w:right w:val="none" w:sz="0" w:space="0" w:color="auto"/>
          </w:divBdr>
        </w:div>
        <w:div w:id="1346403678">
          <w:marLeft w:val="0"/>
          <w:marRight w:val="0"/>
          <w:marTop w:val="0"/>
          <w:marBottom w:val="0"/>
          <w:divBdr>
            <w:top w:val="none" w:sz="0" w:space="0" w:color="auto"/>
            <w:left w:val="none" w:sz="0" w:space="0" w:color="auto"/>
            <w:bottom w:val="none" w:sz="0" w:space="0" w:color="auto"/>
            <w:right w:val="none" w:sz="0" w:space="0" w:color="auto"/>
          </w:divBdr>
        </w:div>
        <w:div w:id="626163596">
          <w:marLeft w:val="0"/>
          <w:marRight w:val="0"/>
          <w:marTop w:val="0"/>
          <w:marBottom w:val="0"/>
          <w:divBdr>
            <w:top w:val="none" w:sz="0" w:space="0" w:color="auto"/>
            <w:left w:val="none" w:sz="0" w:space="0" w:color="auto"/>
            <w:bottom w:val="none" w:sz="0" w:space="0" w:color="auto"/>
            <w:right w:val="none" w:sz="0" w:space="0" w:color="auto"/>
          </w:divBdr>
        </w:div>
        <w:div w:id="1085228779">
          <w:marLeft w:val="0"/>
          <w:marRight w:val="0"/>
          <w:marTop w:val="0"/>
          <w:marBottom w:val="0"/>
          <w:divBdr>
            <w:top w:val="none" w:sz="0" w:space="0" w:color="auto"/>
            <w:left w:val="none" w:sz="0" w:space="0" w:color="auto"/>
            <w:bottom w:val="none" w:sz="0" w:space="0" w:color="auto"/>
            <w:right w:val="none" w:sz="0" w:space="0" w:color="auto"/>
          </w:divBdr>
        </w:div>
        <w:div w:id="916745661">
          <w:marLeft w:val="0"/>
          <w:marRight w:val="0"/>
          <w:marTop w:val="0"/>
          <w:marBottom w:val="0"/>
          <w:divBdr>
            <w:top w:val="none" w:sz="0" w:space="0" w:color="auto"/>
            <w:left w:val="none" w:sz="0" w:space="0" w:color="auto"/>
            <w:bottom w:val="none" w:sz="0" w:space="0" w:color="auto"/>
            <w:right w:val="none" w:sz="0" w:space="0" w:color="auto"/>
          </w:divBdr>
        </w:div>
        <w:div w:id="524754307">
          <w:marLeft w:val="0"/>
          <w:marRight w:val="0"/>
          <w:marTop w:val="0"/>
          <w:marBottom w:val="0"/>
          <w:divBdr>
            <w:top w:val="none" w:sz="0" w:space="0" w:color="auto"/>
            <w:left w:val="none" w:sz="0" w:space="0" w:color="auto"/>
            <w:bottom w:val="none" w:sz="0" w:space="0" w:color="auto"/>
            <w:right w:val="none" w:sz="0" w:space="0" w:color="auto"/>
          </w:divBdr>
        </w:div>
        <w:div w:id="1141653561">
          <w:marLeft w:val="0"/>
          <w:marRight w:val="0"/>
          <w:marTop w:val="0"/>
          <w:marBottom w:val="0"/>
          <w:divBdr>
            <w:top w:val="none" w:sz="0" w:space="0" w:color="auto"/>
            <w:left w:val="none" w:sz="0" w:space="0" w:color="auto"/>
            <w:bottom w:val="none" w:sz="0" w:space="0" w:color="auto"/>
            <w:right w:val="none" w:sz="0" w:space="0" w:color="auto"/>
          </w:divBdr>
        </w:div>
        <w:div w:id="1892306251">
          <w:marLeft w:val="0"/>
          <w:marRight w:val="0"/>
          <w:marTop w:val="0"/>
          <w:marBottom w:val="0"/>
          <w:divBdr>
            <w:top w:val="none" w:sz="0" w:space="0" w:color="auto"/>
            <w:left w:val="none" w:sz="0" w:space="0" w:color="auto"/>
            <w:bottom w:val="none" w:sz="0" w:space="0" w:color="auto"/>
            <w:right w:val="none" w:sz="0" w:space="0" w:color="auto"/>
          </w:divBdr>
        </w:div>
        <w:div w:id="1710690324">
          <w:marLeft w:val="0"/>
          <w:marRight w:val="0"/>
          <w:marTop w:val="0"/>
          <w:marBottom w:val="0"/>
          <w:divBdr>
            <w:top w:val="none" w:sz="0" w:space="0" w:color="auto"/>
            <w:left w:val="none" w:sz="0" w:space="0" w:color="auto"/>
            <w:bottom w:val="none" w:sz="0" w:space="0" w:color="auto"/>
            <w:right w:val="none" w:sz="0" w:space="0" w:color="auto"/>
          </w:divBdr>
        </w:div>
        <w:div w:id="1770075932">
          <w:marLeft w:val="0"/>
          <w:marRight w:val="0"/>
          <w:marTop w:val="0"/>
          <w:marBottom w:val="0"/>
          <w:divBdr>
            <w:top w:val="none" w:sz="0" w:space="0" w:color="auto"/>
            <w:left w:val="none" w:sz="0" w:space="0" w:color="auto"/>
            <w:bottom w:val="none" w:sz="0" w:space="0" w:color="auto"/>
            <w:right w:val="none" w:sz="0" w:space="0" w:color="auto"/>
          </w:divBdr>
        </w:div>
        <w:div w:id="1424885015">
          <w:marLeft w:val="0"/>
          <w:marRight w:val="0"/>
          <w:marTop w:val="0"/>
          <w:marBottom w:val="0"/>
          <w:divBdr>
            <w:top w:val="none" w:sz="0" w:space="0" w:color="auto"/>
            <w:left w:val="none" w:sz="0" w:space="0" w:color="auto"/>
            <w:bottom w:val="none" w:sz="0" w:space="0" w:color="auto"/>
            <w:right w:val="none" w:sz="0" w:space="0" w:color="auto"/>
          </w:divBdr>
        </w:div>
        <w:div w:id="1113860371">
          <w:marLeft w:val="0"/>
          <w:marRight w:val="0"/>
          <w:marTop w:val="0"/>
          <w:marBottom w:val="0"/>
          <w:divBdr>
            <w:top w:val="none" w:sz="0" w:space="0" w:color="auto"/>
            <w:left w:val="none" w:sz="0" w:space="0" w:color="auto"/>
            <w:bottom w:val="none" w:sz="0" w:space="0" w:color="auto"/>
            <w:right w:val="none" w:sz="0" w:space="0" w:color="auto"/>
          </w:divBdr>
        </w:div>
      </w:divsChild>
    </w:div>
    <w:div w:id="1627659374">
      <w:bodyDiv w:val="1"/>
      <w:marLeft w:val="0"/>
      <w:marRight w:val="0"/>
      <w:marTop w:val="0"/>
      <w:marBottom w:val="0"/>
      <w:divBdr>
        <w:top w:val="none" w:sz="0" w:space="0" w:color="auto"/>
        <w:left w:val="none" w:sz="0" w:space="0" w:color="auto"/>
        <w:bottom w:val="none" w:sz="0" w:space="0" w:color="auto"/>
        <w:right w:val="none" w:sz="0" w:space="0" w:color="auto"/>
      </w:divBdr>
    </w:div>
    <w:div w:id="1718167453">
      <w:bodyDiv w:val="1"/>
      <w:marLeft w:val="0"/>
      <w:marRight w:val="0"/>
      <w:marTop w:val="0"/>
      <w:marBottom w:val="0"/>
      <w:divBdr>
        <w:top w:val="none" w:sz="0" w:space="0" w:color="auto"/>
        <w:left w:val="none" w:sz="0" w:space="0" w:color="auto"/>
        <w:bottom w:val="none" w:sz="0" w:space="0" w:color="auto"/>
        <w:right w:val="none" w:sz="0" w:space="0" w:color="auto"/>
      </w:divBdr>
      <w:divsChild>
        <w:div w:id="1238058856">
          <w:marLeft w:val="0"/>
          <w:marRight w:val="0"/>
          <w:marTop w:val="0"/>
          <w:marBottom w:val="0"/>
          <w:divBdr>
            <w:top w:val="none" w:sz="0" w:space="0" w:color="auto"/>
            <w:left w:val="none" w:sz="0" w:space="0" w:color="auto"/>
            <w:bottom w:val="none" w:sz="0" w:space="0" w:color="auto"/>
            <w:right w:val="none" w:sz="0" w:space="0" w:color="auto"/>
          </w:divBdr>
        </w:div>
        <w:div w:id="1799716345">
          <w:marLeft w:val="0"/>
          <w:marRight w:val="0"/>
          <w:marTop w:val="0"/>
          <w:marBottom w:val="0"/>
          <w:divBdr>
            <w:top w:val="none" w:sz="0" w:space="0" w:color="auto"/>
            <w:left w:val="none" w:sz="0" w:space="0" w:color="auto"/>
            <w:bottom w:val="none" w:sz="0" w:space="0" w:color="auto"/>
            <w:right w:val="none" w:sz="0" w:space="0" w:color="auto"/>
          </w:divBdr>
        </w:div>
        <w:div w:id="2022586735">
          <w:marLeft w:val="0"/>
          <w:marRight w:val="0"/>
          <w:marTop w:val="0"/>
          <w:marBottom w:val="0"/>
          <w:divBdr>
            <w:top w:val="none" w:sz="0" w:space="0" w:color="auto"/>
            <w:left w:val="none" w:sz="0" w:space="0" w:color="auto"/>
            <w:bottom w:val="none" w:sz="0" w:space="0" w:color="auto"/>
            <w:right w:val="none" w:sz="0" w:space="0" w:color="auto"/>
          </w:divBdr>
        </w:div>
        <w:div w:id="1952978158">
          <w:marLeft w:val="0"/>
          <w:marRight w:val="0"/>
          <w:marTop w:val="0"/>
          <w:marBottom w:val="0"/>
          <w:divBdr>
            <w:top w:val="none" w:sz="0" w:space="0" w:color="auto"/>
            <w:left w:val="none" w:sz="0" w:space="0" w:color="auto"/>
            <w:bottom w:val="none" w:sz="0" w:space="0" w:color="auto"/>
            <w:right w:val="none" w:sz="0" w:space="0" w:color="auto"/>
          </w:divBdr>
        </w:div>
        <w:div w:id="134833122">
          <w:marLeft w:val="0"/>
          <w:marRight w:val="0"/>
          <w:marTop w:val="0"/>
          <w:marBottom w:val="0"/>
          <w:divBdr>
            <w:top w:val="none" w:sz="0" w:space="0" w:color="auto"/>
            <w:left w:val="none" w:sz="0" w:space="0" w:color="auto"/>
            <w:bottom w:val="none" w:sz="0" w:space="0" w:color="auto"/>
            <w:right w:val="none" w:sz="0" w:space="0" w:color="auto"/>
          </w:divBdr>
        </w:div>
        <w:div w:id="2009483682">
          <w:marLeft w:val="0"/>
          <w:marRight w:val="0"/>
          <w:marTop w:val="0"/>
          <w:marBottom w:val="0"/>
          <w:divBdr>
            <w:top w:val="none" w:sz="0" w:space="0" w:color="auto"/>
            <w:left w:val="none" w:sz="0" w:space="0" w:color="auto"/>
            <w:bottom w:val="none" w:sz="0" w:space="0" w:color="auto"/>
            <w:right w:val="none" w:sz="0" w:space="0" w:color="auto"/>
          </w:divBdr>
        </w:div>
        <w:div w:id="1869443229">
          <w:marLeft w:val="0"/>
          <w:marRight w:val="0"/>
          <w:marTop w:val="0"/>
          <w:marBottom w:val="0"/>
          <w:divBdr>
            <w:top w:val="none" w:sz="0" w:space="0" w:color="auto"/>
            <w:left w:val="none" w:sz="0" w:space="0" w:color="auto"/>
            <w:bottom w:val="none" w:sz="0" w:space="0" w:color="auto"/>
            <w:right w:val="none" w:sz="0" w:space="0" w:color="auto"/>
          </w:divBdr>
        </w:div>
        <w:div w:id="1678311888">
          <w:marLeft w:val="0"/>
          <w:marRight w:val="0"/>
          <w:marTop w:val="0"/>
          <w:marBottom w:val="0"/>
          <w:divBdr>
            <w:top w:val="none" w:sz="0" w:space="0" w:color="auto"/>
            <w:left w:val="none" w:sz="0" w:space="0" w:color="auto"/>
            <w:bottom w:val="none" w:sz="0" w:space="0" w:color="auto"/>
            <w:right w:val="none" w:sz="0" w:space="0" w:color="auto"/>
          </w:divBdr>
        </w:div>
        <w:div w:id="325911413">
          <w:marLeft w:val="0"/>
          <w:marRight w:val="0"/>
          <w:marTop w:val="0"/>
          <w:marBottom w:val="0"/>
          <w:divBdr>
            <w:top w:val="none" w:sz="0" w:space="0" w:color="auto"/>
            <w:left w:val="none" w:sz="0" w:space="0" w:color="auto"/>
            <w:bottom w:val="none" w:sz="0" w:space="0" w:color="auto"/>
            <w:right w:val="none" w:sz="0" w:space="0" w:color="auto"/>
          </w:divBdr>
        </w:div>
        <w:div w:id="848177759">
          <w:marLeft w:val="0"/>
          <w:marRight w:val="0"/>
          <w:marTop w:val="0"/>
          <w:marBottom w:val="0"/>
          <w:divBdr>
            <w:top w:val="none" w:sz="0" w:space="0" w:color="auto"/>
            <w:left w:val="none" w:sz="0" w:space="0" w:color="auto"/>
            <w:bottom w:val="none" w:sz="0" w:space="0" w:color="auto"/>
            <w:right w:val="none" w:sz="0" w:space="0" w:color="auto"/>
          </w:divBdr>
        </w:div>
        <w:div w:id="501895790">
          <w:marLeft w:val="0"/>
          <w:marRight w:val="0"/>
          <w:marTop w:val="0"/>
          <w:marBottom w:val="0"/>
          <w:divBdr>
            <w:top w:val="none" w:sz="0" w:space="0" w:color="auto"/>
            <w:left w:val="none" w:sz="0" w:space="0" w:color="auto"/>
            <w:bottom w:val="none" w:sz="0" w:space="0" w:color="auto"/>
            <w:right w:val="none" w:sz="0" w:space="0" w:color="auto"/>
          </w:divBdr>
        </w:div>
        <w:div w:id="1809400239">
          <w:marLeft w:val="0"/>
          <w:marRight w:val="0"/>
          <w:marTop w:val="0"/>
          <w:marBottom w:val="0"/>
          <w:divBdr>
            <w:top w:val="none" w:sz="0" w:space="0" w:color="auto"/>
            <w:left w:val="none" w:sz="0" w:space="0" w:color="auto"/>
            <w:bottom w:val="none" w:sz="0" w:space="0" w:color="auto"/>
            <w:right w:val="none" w:sz="0" w:space="0" w:color="auto"/>
          </w:divBdr>
        </w:div>
        <w:div w:id="2032679638">
          <w:marLeft w:val="0"/>
          <w:marRight w:val="0"/>
          <w:marTop w:val="0"/>
          <w:marBottom w:val="0"/>
          <w:divBdr>
            <w:top w:val="none" w:sz="0" w:space="0" w:color="auto"/>
            <w:left w:val="none" w:sz="0" w:space="0" w:color="auto"/>
            <w:bottom w:val="none" w:sz="0" w:space="0" w:color="auto"/>
            <w:right w:val="none" w:sz="0" w:space="0" w:color="auto"/>
          </w:divBdr>
        </w:div>
        <w:div w:id="990981489">
          <w:marLeft w:val="0"/>
          <w:marRight w:val="0"/>
          <w:marTop w:val="0"/>
          <w:marBottom w:val="0"/>
          <w:divBdr>
            <w:top w:val="none" w:sz="0" w:space="0" w:color="auto"/>
            <w:left w:val="none" w:sz="0" w:space="0" w:color="auto"/>
            <w:bottom w:val="none" w:sz="0" w:space="0" w:color="auto"/>
            <w:right w:val="none" w:sz="0" w:space="0" w:color="auto"/>
          </w:divBdr>
        </w:div>
        <w:div w:id="1448961148">
          <w:marLeft w:val="0"/>
          <w:marRight w:val="0"/>
          <w:marTop w:val="0"/>
          <w:marBottom w:val="0"/>
          <w:divBdr>
            <w:top w:val="none" w:sz="0" w:space="0" w:color="auto"/>
            <w:left w:val="none" w:sz="0" w:space="0" w:color="auto"/>
            <w:bottom w:val="none" w:sz="0" w:space="0" w:color="auto"/>
            <w:right w:val="none" w:sz="0" w:space="0" w:color="auto"/>
          </w:divBdr>
        </w:div>
        <w:div w:id="126437924">
          <w:marLeft w:val="0"/>
          <w:marRight w:val="0"/>
          <w:marTop w:val="0"/>
          <w:marBottom w:val="0"/>
          <w:divBdr>
            <w:top w:val="none" w:sz="0" w:space="0" w:color="auto"/>
            <w:left w:val="none" w:sz="0" w:space="0" w:color="auto"/>
            <w:bottom w:val="none" w:sz="0" w:space="0" w:color="auto"/>
            <w:right w:val="none" w:sz="0" w:space="0" w:color="auto"/>
          </w:divBdr>
        </w:div>
        <w:div w:id="1944141599">
          <w:marLeft w:val="0"/>
          <w:marRight w:val="0"/>
          <w:marTop w:val="0"/>
          <w:marBottom w:val="0"/>
          <w:divBdr>
            <w:top w:val="none" w:sz="0" w:space="0" w:color="auto"/>
            <w:left w:val="none" w:sz="0" w:space="0" w:color="auto"/>
            <w:bottom w:val="none" w:sz="0" w:space="0" w:color="auto"/>
            <w:right w:val="none" w:sz="0" w:space="0" w:color="auto"/>
          </w:divBdr>
        </w:div>
        <w:div w:id="438305149">
          <w:marLeft w:val="0"/>
          <w:marRight w:val="0"/>
          <w:marTop w:val="0"/>
          <w:marBottom w:val="0"/>
          <w:divBdr>
            <w:top w:val="none" w:sz="0" w:space="0" w:color="auto"/>
            <w:left w:val="none" w:sz="0" w:space="0" w:color="auto"/>
            <w:bottom w:val="none" w:sz="0" w:space="0" w:color="auto"/>
            <w:right w:val="none" w:sz="0" w:space="0" w:color="auto"/>
          </w:divBdr>
        </w:div>
        <w:div w:id="745999622">
          <w:marLeft w:val="0"/>
          <w:marRight w:val="0"/>
          <w:marTop w:val="0"/>
          <w:marBottom w:val="0"/>
          <w:divBdr>
            <w:top w:val="none" w:sz="0" w:space="0" w:color="auto"/>
            <w:left w:val="none" w:sz="0" w:space="0" w:color="auto"/>
            <w:bottom w:val="none" w:sz="0" w:space="0" w:color="auto"/>
            <w:right w:val="none" w:sz="0" w:space="0" w:color="auto"/>
          </w:divBdr>
        </w:div>
        <w:div w:id="750006527">
          <w:marLeft w:val="0"/>
          <w:marRight w:val="0"/>
          <w:marTop w:val="0"/>
          <w:marBottom w:val="0"/>
          <w:divBdr>
            <w:top w:val="none" w:sz="0" w:space="0" w:color="auto"/>
            <w:left w:val="none" w:sz="0" w:space="0" w:color="auto"/>
            <w:bottom w:val="none" w:sz="0" w:space="0" w:color="auto"/>
            <w:right w:val="none" w:sz="0" w:space="0" w:color="auto"/>
          </w:divBdr>
        </w:div>
        <w:div w:id="833373345">
          <w:marLeft w:val="0"/>
          <w:marRight w:val="0"/>
          <w:marTop w:val="0"/>
          <w:marBottom w:val="0"/>
          <w:divBdr>
            <w:top w:val="none" w:sz="0" w:space="0" w:color="auto"/>
            <w:left w:val="none" w:sz="0" w:space="0" w:color="auto"/>
            <w:bottom w:val="none" w:sz="0" w:space="0" w:color="auto"/>
            <w:right w:val="none" w:sz="0" w:space="0" w:color="auto"/>
          </w:divBdr>
        </w:div>
      </w:divsChild>
    </w:div>
    <w:div w:id="1727414295">
      <w:bodyDiv w:val="1"/>
      <w:marLeft w:val="0"/>
      <w:marRight w:val="0"/>
      <w:marTop w:val="0"/>
      <w:marBottom w:val="0"/>
      <w:divBdr>
        <w:top w:val="none" w:sz="0" w:space="0" w:color="auto"/>
        <w:left w:val="none" w:sz="0" w:space="0" w:color="auto"/>
        <w:bottom w:val="none" w:sz="0" w:space="0" w:color="auto"/>
        <w:right w:val="none" w:sz="0" w:space="0" w:color="auto"/>
      </w:divBdr>
      <w:divsChild>
        <w:div w:id="1289749280">
          <w:marLeft w:val="0"/>
          <w:marRight w:val="0"/>
          <w:marTop w:val="0"/>
          <w:marBottom w:val="0"/>
          <w:divBdr>
            <w:top w:val="none" w:sz="0" w:space="0" w:color="auto"/>
            <w:left w:val="none" w:sz="0" w:space="0" w:color="auto"/>
            <w:bottom w:val="none" w:sz="0" w:space="0" w:color="auto"/>
            <w:right w:val="none" w:sz="0" w:space="0" w:color="auto"/>
          </w:divBdr>
        </w:div>
        <w:div w:id="1851330187">
          <w:marLeft w:val="0"/>
          <w:marRight w:val="0"/>
          <w:marTop w:val="0"/>
          <w:marBottom w:val="0"/>
          <w:divBdr>
            <w:top w:val="none" w:sz="0" w:space="0" w:color="auto"/>
            <w:left w:val="none" w:sz="0" w:space="0" w:color="auto"/>
            <w:bottom w:val="none" w:sz="0" w:space="0" w:color="auto"/>
            <w:right w:val="none" w:sz="0" w:space="0" w:color="auto"/>
          </w:divBdr>
        </w:div>
        <w:div w:id="1939097044">
          <w:marLeft w:val="0"/>
          <w:marRight w:val="0"/>
          <w:marTop w:val="0"/>
          <w:marBottom w:val="0"/>
          <w:divBdr>
            <w:top w:val="none" w:sz="0" w:space="0" w:color="auto"/>
            <w:left w:val="none" w:sz="0" w:space="0" w:color="auto"/>
            <w:bottom w:val="none" w:sz="0" w:space="0" w:color="auto"/>
            <w:right w:val="none" w:sz="0" w:space="0" w:color="auto"/>
          </w:divBdr>
        </w:div>
        <w:div w:id="1904171925">
          <w:marLeft w:val="0"/>
          <w:marRight w:val="0"/>
          <w:marTop w:val="0"/>
          <w:marBottom w:val="0"/>
          <w:divBdr>
            <w:top w:val="none" w:sz="0" w:space="0" w:color="auto"/>
            <w:left w:val="none" w:sz="0" w:space="0" w:color="auto"/>
            <w:bottom w:val="none" w:sz="0" w:space="0" w:color="auto"/>
            <w:right w:val="none" w:sz="0" w:space="0" w:color="auto"/>
          </w:divBdr>
        </w:div>
        <w:div w:id="1988822806">
          <w:marLeft w:val="0"/>
          <w:marRight w:val="0"/>
          <w:marTop w:val="0"/>
          <w:marBottom w:val="0"/>
          <w:divBdr>
            <w:top w:val="none" w:sz="0" w:space="0" w:color="auto"/>
            <w:left w:val="none" w:sz="0" w:space="0" w:color="auto"/>
            <w:bottom w:val="none" w:sz="0" w:space="0" w:color="auto"/>
            <w:right w:val="none" w:sz="0" w:space="0" w:color="auto"/>
          </w:divBdr>
        </w:div>
        <w:div w:id="1813518791">
          <w:marLeft w:val="0"/>
          <w:marRight w:val="0"/>
          <w:marTop w:val="0"/>
          <w:marBottom w:val="0"/>
          <w:divBdr>
            <w:top w:val="none" w:sz="0" w:space="0" w:color="auto"/>
            <w:left w:val="none" w:sz="0" w:space="0" w:color="auto"/>
            <w:bottom w:val="none" w:sz="0" w:space="0" w:color="auto"/>
            <w:right w:val="none" w:sz="0" w:space="0" w:color="auto"/>
          </w:divBdr>
        </w:div>
        <w:div w:id="1809542656">
          <w:marLeft w:val="0"/>
          <w:marRight w:val="0"/>
          <w:marTop w:val="0"/>
          <w:marBottom w:val="0"/>
          <w:divBdr>
            <w:top w:val="none" w:sz="0" w:space="0" w:color="auto"/>
            <w:left w:val="none" w:sz="0" w:space="0" w:color="auto"/>
            <w:bottom w:val="none" w:sz="0" w:space="0" w:color="auto"/>
            <w:right w:val="none" w:sz="0" w:space="0" w:color="auto"/>
          </w:divBdr>
        </w:div>
        <w:div w:id="363678253">
          <w:marLeft w:val="0"/>
          <w:marRight w:val="0"/>
          <w:marTop w:val="0"/>
          <w:marBottom w:val="0"/>
          <w:divBdr>
            <w:top w:val="none" w:sz="0" w:space="0" w:color="auto"/>
            <w:left w:val="none" w:sz="0" w:space="0" w:color="auto"/>
            <w:bottom w:val="none" w:sz="0" w:space="0" w:color="auto"/>
            <w:right w:val="none" w:sz="0" w:space="0" w:color="auto"/>
          </w:divBdr>
        </w:div>
        <w:div w:id="1342395659">
          <w:marLeft w:val="0"/>
          <w:marRight w:val="0"/>
          <w:marTop w:val="0"/>
          <w:marBottom w:val="0"/>
          <w:divBdr>
            <w:top w:val="none" w:sz="0" w:space="0" w:color="auto"/>
            <w:left w:val="none" w:sz="0" w:space="0" w:color="auto"/>
            <w:bottom w:val="none" w:sz="0" w:space="0" w:color="auto"/>
            <w:right w:val="none" w:sz="0" w:space="0" w:color="auto"/>
          </w:divBdr>
        </w:div>
        <w:div w:id="693769843">
          <w:marLeft w:val="0"/>
          <w:marRight w:val="0"/>
          <w:marTop w:val="0"/>
          <w:marBottom w:val="0"/>
          <w:divBdr>
            <w:top w:val="none" w:sz="0" w:space="0" w:color="auto"/>
            <w:left w:val="none" w:sz="0" w:space="0" w:color="auto"/>
            <w:bottom w:val="none" w:sz="0" w:space="0" w:color="auto"/>
            <w:right w:val="none" w:sz="0" w:space="0" w:color="auto"/>
          </w:divBdr>
        </w:div>
        <w:div w:id="1243102698">
          <w:marLeft w:val="0"/>
          <w:marRight w:val="0"/>
          <w:marTop w:val="0"/>
          <w:marBottom w:val="0"/>
          <w:divBdr>
            <w:top w:val="none" w:sz="0" w:space="0" w:color="auto"/>
            <w:left w:val="none" w:sz="0" w:space="0" w:color="auto"/>
            <w:bottom w:val="none" w:sz="0" w:space="0" w:color="auto"/>
            <w:right w:val="none" w:sz="0" w:space="0" w:color="auto"/>
          </w:divBdr>
        </w:div>
      </w:divsChild>
    </w:div>
    <w:div w:id="1784180571">
      <w:bodyDiv w:val="1"/>
      <w:marLeft w:val="0"/>
      <w:marRight w:val="0"/>
      <w:marTop w:val="0"/>
      <w:marBottom w:val="0"/>
      <w:divBdr>
        <w:top w:val="none" w:sz="0" w:space="0" w:color="auto"/>
        <w:left w:val="none" w:sz="0" w:space="0" w:color="auto"/>
        <w:bottom w:val="none" w:sz="0" w:space="0" w:color="auto"/>
        <w:right w:val="none" w:sz="0" w:space="0" w:color="auto"/>
      </w:divBdr>
      <w:divsChild>
        <w:div w:id="573052509">
          <w:marLeft w:val="0"/>
          <w:marRight w:val="0"/>
          <w:marTop w:val="0"/>
          <w:marBottom w:val="0"/>
          <w:divBdr>
            <w:top w:val="none" w:sz="0" w:space="0" w:color="auto"/>
            <w:left w:val="none" w:sz="0" w:space="0" w:color="auto"/>
            <w:bottom w:val="none" w:sz="0" w:space="0" w:color="auto"/>
            <w:right w:val="none" w:sz="0" w:space="0" w:color="auto"/>
          </w:divBdr>
        </w:div>
        <w:div w:id="8680760">
          <w:marLeft w:val="0"/>
          <w:marRight w:val="0"/>
          <w:marTop w:val="0"/>
          <w:marBottom w:val="0"/>
          <w:divBdr>
            <w:top w:val="none" w:sz="0" w:space="0" w:color="auto"/>
            <w:left w:val="none" w:sz="0" w:space="0" w:color="auto"/>
            <w:bottom w:val="none" w:sz="0" w:space="0" w:color="auto"/>
            <w:right w:val="none" w:sz="0" w:space="0" w:color="auto"/>
          </w:divBdr>
        </w:div>
        <w:div w:id="353043285">
          <w:marLeft w:val="0"/>
          <w:marRight w:val="0"/>
          <w:marTop w:val="0"/>
          <w:marBottom w:val="0"/>
          <w:divBdr>
            <w:top w:val="none" w:sz="0" w:space="0" w:color="auto"/>
            <w:left w:val="none" w:sz="0" w:space="0" w:color="auto"/>
            <w:bottom w:val="none" w:sz="0" w:space="0" w:color="auto"/>
            <w:right w:val="none" w:sz="0" w:space="0" w:color="auto"/>
          </w:divBdr>
        </w:div>
        <w:div w:id="1651398192">
          <w:marLeft w:val="0"/>
          <w:marRight w:val="0"/>
          <w:marTop w:val="0"/>
          <w:marBottom w:val="0"/>
          <w:divBdr>
            <w:top w:val="none" w:sz="0" w:space="0" w:color="auto"/>
            <w:left w:val="none" w:sz="0" w:space="0" w:color="auto"/>
            <w:bottom w:val="none" w:sz="0" w:space="0" w:color="auto"/>
            <w:right w:val="none" w:sz="0" w:space="0" w:color="auto"/>
          </w:divBdr>
        </w:div>
        <w:div w:id="15277103">
          <w:marLeft w:val="0"/>
          <w:marRight w:val="0"/>
          <w:marTop w:val="0"/>
          <w:marBottom w:val="0"/>
          <w:divBdr>
            <w:top w:val="none" w:sz="0" w:space="0" w:color="auto"/>
            <w:left w:val="none" w:sz="0" w:space="0" w:color="auto"/>
            <w:bottom w:val="none" w:sz="0" w:space="0" w:color="auto"/>
            <w:right w:val="none" w:sz="0" w:space="0" w:color="auto"/>
          </w:divBdr>
        </w:div>
        <w:div w:id="1211500024">
          <w:marLeft w:val="0"/>
          <w:marRight w:val="0"/>
          <w:marTop w:val="0"/>
          <w:marBottom w:val="0"/>
          <w:divBdr>
            <w:top w:val="none" w:sz="0" w:space="0" w:color="auto"/>
            <w:left w:val="none" w:sz="0" w:space="0" w:color="auto"/>
            <w:bottom w:val="none" w:sz="0" w:space="0" w:color="auto"/>
            <w:right w:val="none" w:sz="0" w:space="0" w:color="auto"/>
          </w:divBdr>
        </w:div>
        <w:div w:id="394548293">
          <w:marLeft w:val="0"/>
          <w:marRight w:val="0"/>
          <w:marTop w:val="0"/>
          <w:marBottom w:val="0"/>
          <w:divBdr>
            <w:top w:val="none" w:sz="0" w:space="0" w:color="auto"/>
            <w:left w:val="none" w:sz="0" w:space="0" w:color="auto"/>
            <w:bottom w:val="none" w:sz="0" w:space="0" w:color="auto"/>
            <w:right w:val="none" w:sz="0" w:space="0" w:color="auto"/>
          </w:divBdr>
        </w:div>
        <w:div w:id="1924803400">
          <w:marLeft w:val="0"/>
          <w:marRight w:val="0"/>
          <w:marTop w:val="0"/>
          <w:marBottom w:val="0"/>
          <w:divBdr>
            <w:top w:val="none" w:sz="0" w:space="0" w:color="auto"/>
            <w:left w:val="none" w:sz="0" w:space="0" w:color="auto"/>
            <w:bottom w:val="none" w:sz="0" w:space="0" w:color="auto"/>
            <w:right w:val="none" w:sz="0" w:space="0" w:color="auto"/>
          </w:divBdr>
        </w:div>
        <w:div w:id="1878733148">
          <w:marLeft w:val="0"/>
          <w:marRight w:val="0"/>
          <w:marTop w:val="0"/>
          <w:marBottom w:val="0"/>
          <w:divBdr>
            <w:top w:val="none" w:sz="0" w:space="0" w:color="auto"/>
            <w:left w:val="none" w:sz="0" w:space="0" w:color="auto"/>
            <w:bottom w:val="none" w:sz="0" w:space="0" w:color="auto"/>
            <w:right w:val="none" w:sz="0" w:space="0" w:color="auto"/>
          </w:divBdr>
        </w:div>
        <w:div w:id="573469972">
          <w:marLeft w:val="0"/>
          <w:marRight w:val="0"/>
          <w:marTop w:val="0"/>
          <w:marBottom w:val="0"/>
          <w:divBdr>
            <w:top w:val="none" w:sz="0" w:space="0" w:color="auto"/>
            <w:left w:val="none" w:sz="0" w:space="0" w:color="auto"/>
            <w:bottom w:val="none" w:sz="0" w:space="0" w:color="auto"/>
            <w:right w:val="none" w:sz="0" w:space="0" w:color="auto"/>
          </w:divBdr>
        </w:div>
        <w:div w:id="880096873">
          <w:marLeft w:val="0"/>
          <w:marRight w:val="0"/>
          <w:marTop w:val="0"/>
          <w:marBottom w:val="0"/>
          <w:divBdr>
            <w:top w:val="none" w:sz="0" w:space="0" w:color="auto"/>
            <w:left w:val="none" w:sz="0" w:space="0" w:color="auto"/>
            <w:bottom w:val="none" w:sz="0" w:space="0" w:color="auto"/>
            <w:right w:val="none" w:sz="0" w:space="0" w:color="auto"/>
          </w:divBdr>
        </w:div>
        <w:div w:id="1804805918">
          <w:marLeft w:val="0"/>
          <w:marRight w:val="0"/>
          <w:marTop w:val="0"/>
          <w:marBottom w:val="0"/>
          <w:divBdr>
            <w:top w:val="none" w:sz="0" w:space="0" w:color="auto"/>
            <w:left w:val="none" w:sz="0" w:space="0" w:color="auto"/>
            <w:bottom w:val="none" w:sz="0" w:space="0" w:color="auto"/>
            <w:right w:val="none" w:sz="0" w:space="0" w:color="auto"/>
          </w:divBdr>
        </w:div>
        <w:div w:id="1105149465">
          <w:marLeft w:val="0"/>
          <w:marRight w:val="0"/>
          <w:marTop w:val="0"/>
          <w:marBottom w:val="0"/>
          <w:divBdr>
            <w:top w:val="none" w:sz="0" w:space="0" w:color="auto"/>
            <w:left w:val="none" w:sz="0" w:space="0" w:color="auto"/>
            <w:bottom w:val="none" w:sz="0" w:space="0" w:color="auto"/>
            <w:right w:val="none" w:sz="0" w:space="0" w:color="auto"/>
          </w:divBdr>
        </w:div>
        <w:div w:id="1600482596">
          <w:marLeft w:val="0"/>
          <w:marRight w:val="0"/>
          <w:marTop w:val="0"/>
          <w:marBottom w:val="0"/>
          <w:divBdr>
            <w:top w:val="none" w:sz="0" w:space="0" w:color="auto"/>
            <w:left w:val="none" w:sz="0" w:space="0" w:color="auto"/>
            <w:bottom w:val="none" w:sz="0" w:space="0" w:color="auto"/>
            <w:right w:val="none" w:sz="0" w:space="0" w:color="auto"/>
          </w:divBdr>
        </w:div>
        <w:div w:id="472064058">
          <w:marLeft w:val="0"/>
          <w:marRight w:val="0"/>
          <w:marTop w:val="0"/>
          <w:marBottom w:val="0"/>
          <w:divBdr>
            <w:top w:val="none" w:sz="0" w:space="0" w:color="auto"/>
            <w:left w:val="none" w:sz="0" w:space="0" w:color="auto"/>
            <w:bottom w:val="none" w:sz="0" w:space="0" w:color="auto"/>
            <w:right w:val="none" w:sz="0" w:space="0" w:color="auto"/>
          </w:divBdr>
        </w:div>
        <w:div w:id="1431854026">
          <w:marLeft w:val="0"/>
          <w:marRight w:val="0"/>
          <w:marTop w:val="0"/>
          <w:marBottom w:val="0"/>
          <w:divBdr>
            <w:top w:val="none" w:sz="0" w:space="0" w:color="auto"/>
            <w:left w:val="none" w:sz="0" w:space="0" w:color="auto"/>
            <w:bottom w:val="none" w:sz="0" w:space="0" w:color="auto"/>
            <w:right w:val="none" w:sz="0" w:space="0" w:color="auto"/>
          </w:divBdr>
        </w:div>
      </w:divsChild>
    </w:div>
    <w:div w:id="1877423026">
      <w:bodyDiv w:val="1"/>
      <w:marLeft w:val="0"/>
      <w:marRight w:val="0"/>
      <w:marTop w:val="0"/>
      <w:marBottom w:val="0"/>
      <w:divBdr>
        <w:top w:val="none" w:sz="0" w:space="0" w:color="auto"/>
        <w:left w:val="none" w:sz="0" w:space="0" w:color="auto"/>
        <w:bottom w:val="none" w:sz="0" w:space="0" w:color="auto"/>
        <w:right w:val="none" w:sz="0" w:space="0" w:color="auto"/>
      </w:divBdr>
      <w:divsChild>
        <w:div w:id="987130220">
          <w:marLeft w:val="0"/>
          <w:marRight w:val="0"/>
          <w:marTop w:val="0"/>
          <w:marBottom w:val="0"/>
          <w:divBdr>
            <w:top w:val="none" w:sz="0" w:space="0" w:color="auto"/>
            <w:left w:val="none" w:sz="0" w:space="0" w:color="auto"/>
            <w:bottom w:val="none" w:sz="0" w:space="0" w:color="auto"/>
            <w:right w:val="none" w:sz="0" w:space="0" w:color="auto"/>
          </w:divBdr>
        </w:div>
        <w:div w:id="2142575279">
          <w:marLeft w:val="0"/>
          <w:marRight w:val="0"/>
          <w:marTop w:val="0"/>
          <w:marBottom w:val="0"/>
          <w:divBdr>
            <w:top w:val="none" w:sz="0" w:space="0" w:color="auto"/>
            <w:left w:val="none" w:sz="0" w:space="0" w:color="auto"/>
            <w:bottom w:val="none" w:sz="0" w:space="0" w:color="auto"/>
            <w:right w:val="none" w:sz="0" w:space="0" w:color="auto"/>
          </w:divBdr>
        </w:div>
        <w:div w:id="1129862839">
          <w:marLeft w:val="0"/>
          <w:marRight w:val="0"/>
          <w:marTop w:val="0"/>
          <w:marBottom w:val="0"/>
          <w:divBdr>
            <w:top w:val="none" w:sz="0" w:space="0" w:color="auto"/>
            <w:left w:val="none" w:sz="0" w:space="0" w:color="auto"/>
            <w:bottom w:val="none" w:sz="0" w:space="0" w:color="auto"/>
            <w:right w:val="none" w:sz="0" w:space="0" w:color="auto"/>
          </w:divBdr>
        </w:div>
        <w:div w:id="1055928205">
          <w:marLeft w:val="0"/>
          <w:marRight w:val="0"/>
          <w:marTop w:val="0"/>
          <w:marBottom w:val="0"/>
          <w:divBdr>
            <w:top w:val="none" w:sz="0" w:space="0" w:color="auto"/>
            <w:left w:val="none" w:sz="0" w:space="0" w:color="auto"/>
            <w:bottom w:val="none" w:sz="0" w:space="0" w:color="auto"/>
            <w:right w:val="none" w:sz="0" w:space="0" w:color="auto"/>
          </w:divBdr>
        </w:div>
        <w:div w:id="1036583211">
          <w:marLeft w:val="0"/>
          <w:marRight w:val="0"/>
          <w:marTop w:val="0"/>
          <w:marBottom w:val="0"/>
          <w:divBdr>
            <w:top w:val="none" w:sz="0" w:space="0" w:color="auto"/>
            <w:left w:val="none" w:sz="0" w:space="0" w:color="auto"/>
            <w:bottom w:val="none" w:sz="0" w:space="0" w:color="auto"/>
            <w:right w:val="none" w:sz="0" w:space="0" w:color="auto"/>
          </w:divBdr>
        </w:div>
        <w:div w:id="1637563110">
          <w:marLeft w:val="0"/>
          <w:marRight w:val="0"/>
          <w:marTop w:val="0"/>
          <w:marBottom w:val="0"/>
          <w:divBdr>
            <w:top w:val="none" w:sz="0" w:space="0" w:color="auto"/>
            <w:left w:val="none" w:sz="0" w:space="0" w:color="auto"/>
            <w:bottom w:val="none" w:sz="0" w:space="0" w:color="auto"/>
            <w:right w:val="none" w:sz="0" w:space="0" w:color="auto"/>
          </w:divBdr>
        </w:div>
        <w:div w:id="594365525">
          <w:marLeft w:val="0"/>
          <w:marRight w:val="0"/>
          <w:marTop w:val="0"/>
          <w:marBottom w:val="0"/>
          <w:divBdr>
            <w:top w:val="none" w:sz="0" w:space="0" w:color="auto"/>
            <w:left w:val="none" w:sz="0" w:space="0" w:color="auto"/>
            <w:bottom w:val="none" w:sz="0" w:space="0" w:color="auto"/>
            <w:right w:val="none" w:sz="0" w:space="0" w:color="auto"/>
          </w:divBdr>
        </w:div>
        <w:div w:id="1840660481">
          <w:marLeft w:val="0"/>
          <w:marRight w:val="0"/>
          <w:marTop w:val="0"/>
          <w:marBottom w:val="0"/>
          <w:divBdr>
            <w:top w:val="none" w:sz="0" w:space="0" w:color="auto"/>
            <w:left w:val="none" w:sz="0" w:space="0" w:color="auto"/>
            <w:bottom w:val="none" w:sz="0" w:space="0" w:color="auto"/>
            <w:right w:val="none" w:sz="0" w:space="0" w:color="auto"/>
          </w:divBdr>
        </w:div>
        <w:div w:id="1933317584">
          <w:marLeft w:val="0"/>
          <w:marRight w:val="0"/>
          <w:marTop w:val="0"/>
          <w:marBottom w:val="0"/>
          <w:divBdr>
            <w:top w:val="none" w:sz="0" w:space="0" w:color="auto"/>
            <w:left w:val="none" w:sz="0" w:space="0" w:color="auto"/>
            <w:bottom w:val="none" w:sz="0" w:space="0" w:color="auto"/>
            <w:right w:val="none" w:sz="0" w:space="0" w:color="auto"/>
          </w:divBdr>
        </w:div>
        <w:div w:id="1447388561">
          <w:marLeft w:val="0"/>
          <w:marRight w:val="0"/>
          <w:marTop w:val="0"/>
          <w:marBottom w:val="0"/>
          <w:divBdr>
            <w:top w:val="none" w:sz="0" w:space="0" w:color="auto"/>
            <w:left w:val="none" w:sz="0" w:space="0" w:color="auto"/>
            <w:bottom w:val="none" w:sz="0" w:space="0" w:color="auto"/>
            <w:right w:val="none" w:sz="0" w:space="0" w:color="auto"/>
          </w:divBdr>
        </w:div>
        <w:div w:id="194778753">
          <w:marLeft w:val="0"/>
          <w:marRight w:val="0"/>
          <w:marTop w:val="0"/>
          <w:marBottom w:val="0"/>
          <w:divBdr>
            <w:top w:val="none" w:sz="0" w:space="0" w:color="auto"/>
            <w:left w:val="none" w:sz="0" w:space="0" w:color="auto"/>
            <w:bottom w:val="none" w:sz="0" w:space="0" w:color="auto"/>
            <w:right w:val="none" w:sz="0" w:space="0" w:color="auto"/>
          </w:divBdr>
        </w:div>
        <w:div w:id="1920476971">
          <w:marLeft w:val="0"/>
          <w:marRight w:val="0"/>
          <w:marTop w:val="0"/>
          <w:marBottom w:val="0"/>
          <w:divBdr>
            <w:top w:val="none" w:sz="0" w:space="0" w:color="auto"/>
            <w:left w:val="none" w:sz="0" w:space="0" w:color="auto"/>
            <w:bottom w:val="none" w:sz="0" w:space="0" w:color="auto"/>
            <w:right w:val="none" w:sz="0" w:space="0" w:color="auto"/>
          </w:divBdr>
        </w:div>
        <w:div w:id="528029067">
          <w:marLeft w:val="0"/>
          <w:marRight w:val="0"/>
          <w:marTop w:val="0"/>
          <w:marBottom w:val="0"/>
          <w:divBdr>
            <w:top w:val="none" w:sz="0" w:space="0" w:color="auto"/>
            <w:left w:val="none" w:sz="0" w:space="0" w:color="auto"/>
            <w:bottom w:val="none" w:sz="0" w:space="0" w:color="auto"/>
            <w:right w:val="none" w:sz="0" w:space="0" w:color="auto"/>
          </w:divBdr>
        </w:div>
        <w:div w:id="74866500">
          <w:marLeft w:val="0"/>
          <w:marRight w:val="0"/>
          <w:marTop w:val="0"/>
          <w:marBottom w:val="0"/>
          <w:divBdr>
            <w:top w:val="none" w:sz="0" w:space="0" w:color="auto"/>
            <w:left w:val="none" w:sz="0" w:space="0" w:color="auto"/>
            <w:bottom w:val="none" w:sz="0" w:space="0" w:color="auto"/>
            <w:right w:val="none" w:sz="0" w:space="0" w:color="auto"/>
          </w:divBdr>
        </w:div>
        <w:div w:id="1702171554">
          <w:marLeft w:val="0"/>
          <w:marRight w:val="0"/>
          <w:marTop w:val="0"/>
          <w:marBottom w:val="0"/>
          <w:divBdr>
            <w:top w:val="none" w:sz="0" w:space="0" w:color="auto"/>
            <w:left w:val="none" w:sz="0" w:space="0" w:color="auto"/>
            <w:bottom w:val="none" w:sz="0" w:space="0" w:color="auto"/>
            <w:right w:val="none" w:sz="0" w:space="0" w:color="auto"/>
          </w:divBdr>
        </w:div>
        <w:div w:id="766272606">
          <w:marLeft w:val="0"/>
          <w:marRight w:val="0"/>
          <w:marTop w:val="0"/>
          <w:marBottom w:val="0"/>
          <w:divBdr>
            <w:top w:val="none" w:sz="0" w:space="0" w:color="auto"/>
            <w:left w:val="none" w:sz="0" w:space="0" w:color="auto"/>
            <w:bottom w:val="none" w:sz="0" w:space="0" w:color="auto"/>
            <w:right w:val="none" w:sz="0" w:space="0" w:color="auto"/>
          </w:divBdr>
        </w:div>
        <w:div w:id="340859497">
          <w:marLeft w:val="0"/>
          <w:marRight w:val="0"/>
          <w:marTop w:val="0"/>
          <w:marBottom w:val="0"/>
          <w:divBdr>
            <w:top w:val="none" w:sz="0" w:space="0" w:color="auto"/>
            <w:left w:val="none" w:sz="0" w:space="0" w:color="auto"/>
            <w:bottom w:val="none" w:sz="0" w:space="0" w:color="auto"/>
            <w:right w:val="none" w:sz="0" w:space="0" w:color="auto"/>
          </w:divBdr>
        </w:div>
        <w:div w:id="863901844">
          <w:marLeft w:val="0"/>
          <w:marRight w:val="0"/>
          <w:marTop w:val="0"/>
          <w:marBottom w:val="0"/>
          <w:divBdr>
            <w:top w:val="none" w:sz="0" w:space="0" w:color="auto"/>
            <w:left w:val="none" w:sz="0" w:space="0" w:color="auto"/>
            <w:bottom w:val="none" w:sz="0" w:space="0" w:color="auto"/>
            <w:right w:val="none" w:sz="0" w:space="0" w:color="auto"/>
          </w:divBdr>
        </w:div>
      </w:divsChild>
    </w:div>
    <w:div w:id="2073893035">
      <w:bodyDiv w:val="1"/>
      <w:marLeft w:val="0"/>
      <w:marRight w:val="0"/>
      <w:marTop w:val="0"/>
      <w:marBottom w:val="0"/>
      <w:divBdr>
        <w:top w:val="none" w:sz="0" w:space="0" w:color="auto"/>
        <w:left w:val="none" w:sz="0" w:space="0" w:color="auto"/>
        <w:bottom w:val="none" w:sz="0" w:space="0" w:color="auto"/>
        <w:right w:val="none" w:sz="0" w:space="0" w:color="auto"/>
      </w:divBdr>
    </w:div>
    <w:div w:id="2127042136">
      <w:bodyDiv w:val="1"/>
      <w:marLeft w:val="0"/>
      <w:marRight w:val="0"/>
      <w:marTop w:val="0"/>
      <w:marBottom w:val="0"/>
      <w:divBdr>
        <w:top w:val="none" w:sz="0" w:space="0" w:color="auto"/>
        <w:left w:val="none" w:sz="0" w:space="0" w:color="auto"/>
        <w:bottom w:val="none" w:sz="0" w:space="0" w:color="auto"/>
        <w:right w:val="none" w:sz="0" w:space="0" w:color="auto"/>
      </w:divBdr>
      <w:divsChild>
        <w:div w:id="904268050">
          <w:marLeft w:val="0"/>
          <w:marRight w:val="0"/>
          <w:marTop w:val="0"/>
          <w:marBottom w:val="0"/>
          <w:divBdr>
            <w:top w:val="none" w:sz="0" w:space="0" w:color="auto"/>
            <w:left w:val="none" w:sz="0" w:space="0" w:color="auto"/>
            <w:bottom w:val="none" w:sz="0" w:space="0" w:color="auto"/>
            <w:right w:val="none" w:sz="0" w:space="0" w:color="auto"/>
          </w:divBdr>
        </w:div>
        <w:div w:id="1941788750">
          <w:marLeft w:val="0"/>
          <w:marRight w:val="0"/>
          <w:marTop w:val="0"/>
          <w:marBottom w:val="0"/>
          <w:divBdr>
            <w:top w:val="none" w:sz="0" w:space="0" w:color="auto"/>
            <w:left w:val="none" w:sz="0" w:space="0" w:color="auto"/>
            <w:bottom w:val="none" w:sz="0" w:space="0" w:color="auto"/>
            <w:right w:val="none" w:sz="0" w:space="0" w:color="auto"/>
          </w:divBdr>
        </w:div>
        <w:div w:id="1563254315">
          <w:marLeft w:val="0"/>
          <w:marRight w:val="0"/>
          <w:marTop w:val="0"/>
          <w:marBottom w:val="0"/>
          <w:divBdr>
            <w:top w:val="none" w:sz="0" w:space="0" w:color="auto"/>
            <w:left w:val="none" w:sz="0" w:space="0" w:color="auto"/>
            <w:bottom w:val="none" w:sz="0" w:space="0" w:color="auto"/>
            <w:right w:val="none" w:sz="0" w:space="0" w:color="auto"/>
          </w:divBdr>
        </w:div>
        <w:div w:id="1109273223">
          <w:marLeft w:val="0"/>
          <w:marRight w:val="0"/>
          <w:marTop w:val="0"/>
          <w:marBottom w:val="0"/>
          <w:divBdr>
            <w:top w:val="none" w:sz="0" w:space="0" w:color="auto"/>
            <w:left w:val="none" w:sz="0" w:space="0" w:color="auto"/>
            <w:bottom w:val="none" w:sz="0" w:space="0" w:color="auto"/>
            <w:right w:val="none" w:sz="0" w:space="0" w:color="auto"/>
          </w:divBdr>
        </w:div>
        <w:div w:id="572546748">
          <w:marLeft w:val="0"/>
          <w:marRight w:val="0"/>
          <w:marTop w:val="0"/>
          <w:marBottom w:val="0"/>
          <w:divBdr>
            <w:top w:val="none" w:sz="0" w:space="0" w:color="auto"/>
            <w:left w:val="none" w:sz="0" w:space="0" w:color="auto"/>
            <w:bottom w:val="none" w:sz="0" w:space="0" w:color="auto"/>
            <w:right w:val="none" w:sz="0" w:space="0" w:color="auto"/>
          </w:divBdr>
        </w:div>
        <w:div w:id="1773083379">
          <w:marLeft w:val="0"/>
          <w:marRight w:val="0"/>
          <w:marTop w:val="0"/>
          <w:marBottom w:val="0"/>
          <w:divBdr>
            <w:top w:val="none" w:sz="0" w:space="0" w:color="auto"/>
            <w:left w:val="none" w:sz="0" w:space="0" w:color="auto"/>
            <w:bottom w:val="none" w:sz="0" w:space="0" w:color="auto"/>
            <w:right w:val="none" w:sz="0" w:space="0" w:color="auto"/>
          </w:divBdr>
        </w:div>
        <w:div w:id="1903565675">
          <w:marLeft w:val="0"/>
          <w:marRight w:val="0"/>
          <w:marTop w:val="0"/>
          <w:marBottom w:val="0"/>
          <w:divBdr>
            <w:top w:val="none" w:sz="0" w:space="0" w:color="auto"/>
            <w:left w:val="none" w:sz="0" w:space="0" w:color="auto"/>
            <w:bottom w:val="none" w:sz="0" w:space="0" w:color="auto"/>
            <w:right w:val="none" w:sz="0" w:space="0" w:color="auto"/>
          </w:divBdr>
        </w:div>
        <w:div w:id="1590775790">
          <w:marLeft w:val="0"/>
          <w:marRight w:val="0"/>
          <w:marTop w:val="0"/>
          <w:marBottom w:val="0"/>
          <w:divBdr>
            <w:top w:val="none" w:sz="0" w:space="0" w:color="auto"/>
            <w:left w:val="none" w:sz="0" w:space="0" w:color="auto"/>
            <w:bottom w:val="none" w:sz="0" w:space="0" w:color="auto"/>
            <w:right w:val="none" w:sz="0" w:space="0" w:color="auto"/>
          </w:divBdr>
        </w:div>
        <w:div w:id="240143821">
          <w:marLeft w:val="0"/>
          <w:marRight w:val="0"/>
          <w:marTop w:val="0"/>
          <w:marBottom w:val="0"/>
          <w:divBdr>
            <w:top w:val="none" w:sz="0" w:space="0" w:color="auto"/>
            <w:left w:val="none" w:sz="0" w:space="0" w:color="auto"/>
            <w:bottom w:val="none" w:sz="0" w:space="0" w:color="auto"/>
            <w:right w:val="none" w:sz="0" w:space="0" w:color="auto"/>
          </w:divBdr>
        </w:div>
        <w:div w:id="1385063415">
          <w:marLeft w:val="0"/>
          <w:marRight w:val="0"/>
          <w:marTop w:val="0"/>
          <w:marBottom w:val="0"/>
          <w:divBdr>
            <w:top w:val="none" w:sz="0" w:space="0" w:color="auto"/>
            <w:left w:val="none" w:sz="0" w:space="0" w:color="auto"/>
            <w:bottom w:val="none" w:sz="0" w:space="0" w:color="auto"/>
            <w:right w:val="none" w:sz="0" w:space="0" w:color="auto"/>
          </w:divBdr>
        </w:div>
        <w:div w:id="807431158">
          <w:marLeft w:val="0"/>
          <w:marRight w:val="0"/>
          <w:marTop w:val="0"/>
          <w:marBottom w:val="0"/>
          <w:divBdr>
            <w:top w:val="none" w:sz="0" w:space="0" w:color="auto"/>
            <w:left w:val="none" w:sz="0" w:space="0" w:color="auto"/>
            <w:bottom w:val="none" w:sz="0" w:space="0" w:color="auto"/>
            <w:right w:val="none" w:sz="0" w:space="0" w:color="auto"/>
          </w:divBdr>
        </w:div>
        <w:div w:id="1976788898">
          <w:marLeft w:val="0"/>
          <w:marRight w:val="0"/>
          <w:marTop w:val="0"/>
          <w:marBottom w:val="0"/>
          <w:divBdr>
            <w:top w:val="none" w:sz="0" w:space="0" w:color="auto"/>
            <w:left w:val="none" w:sz="0" w:space="0" w:color="auto"/>
            <w:bottom w:val="none" w:sz="0" w:space="0" w:color="auto"/>
            <w:right w:val="none" w:sz="0" w:space="0" w:color="auto"/>
          </w:divBdr>
        </w:div>
        <w:div w:id="1576042399">
          <w:marLeft w:val="0"/>
          <w:marRight w:val="0"/>
          <w:marTop w:val="0"/>
          <w:marBottom w:val="0"/>
          <w:divBdr>
            <w:top w:val="none" w:sz="0" w:space="0" w:color="auto"/>
            <w:left w:val="none" w:sz="0" w:space="0" w:color="auto"/>
            <w:bottom w:val="none" w:sz="0" w:space="0" w:color="auto"/>
            <w:right w:val="none" w:sz="0" w:space="0" w:color="auto"/>
          </w:divBdr>
        </w:div>
        <w:div w:id="884679071">
          <w:marLeft w:val="0"/>
          <w:marRight w:val="0"/>
          <w:marTop w:val="0"/>
          <w:marBottom w:val="0"/>
          <w:divBdr>
            <w:top w:val="none" w:sz="0" w:space="0" w:color="auto"/>
            <w:left w:val="none" w:sz="0" w:space="0" w:color="auto"/>
            <w:bottom w:val="none" w:sz="0" w:space="0" w:color="auto"/>
            <w:right w:val="none" w:sz="0" w:space="0" w:color="auto"/>
          </w:divBdr>
        </w:div>
        <w:div w:id="1424305784">
          <w:marLeft w:val="0"/>
          <w:marRight w:val="0"/>
          <w:marTop w:val="0"/>
          <w:marBottom w:val="0"/>
          <w:divBdr>
            <w:top w:val="none" w:sz="0" w:space="0" w:color="auto"/>
            <w:left w:val="none" w:sz="0" w:space="0" w:color="auto"/>
            <w:bottom w:val="none" w:sz="0" w:space="0" w:color="auto"/>
            <w:right w:val="none" w:sz="0" w:space="0" w:color="auto"/>
          </w:divBdr>
        </w:div>
        <w:div w:id="1351954997">
          <w:marLeft w:val="0"/>
          <w:marRight w:val="0"/>
          <w:marTop w:val="0"/>
          <w:marBottom w:val="0"/>
          <w:divBdr>
            <w:top w:val="none" w:sz="0" w:space="0" w:color="auto"/>
            <w:left w:val="none" w:sz="0" w:space="0" w:color="auto"/>
            <w:bottom w:val="none" w:sz="0" w:space="0" w:color="auto"/>
            <w:right w:val="none" w:sz="0" w:space="0" w:color="auto"/>
          </w:divBdr>
        </w:div>
        <w:div w:id="1000356779">
          <w:marLeft w:val="0"/>
          <w:marRight w:val="0"/>
          <w:marTop w:val="0"/>
          <w:marBottom w:val="0"/>
          <w:divBdr>
            <w:top w:val="none" w:sz="0" w:space="0" w:color="auto"/>
            <w:left w:val="none" w:sz="0" w:space="0" w:color="auto"/>
            <w:bottom w:val="none" w:sz="0" w:space="0" w:color="auto"/>
            <w:right w:val="none" w:sz="0" w:space="0" w:color="auto"/>
          </w:divBdr>
        </w:div>
        <w:div w:id="505176051">
          <w:marLeft w:val="0"/>
          <w:marRight w:val="0"/>
          <w:marTop w:val="0"/>
          <w:marBottom w:val="0"/>
          <w:divBdr>
            <w:top w:val="none" w:sz="0" w:space="0" w:color="auto"/>
            <w:left w:val="none" w:sz="0" w:space="0" w:color="auto"/>
            <w:bottom w:val="none" w:sz="0" w:space="0" w:color="auto"/>
            <w:right w:val="none" w:sz="0" w:space="0" w:color="auto"/>
          </w:divBdr>
        </w:div>
        <w:div w:id="525220801">
          <w:marLeft w:val="0"/>
          <w:marRight w:val="0"/>
          <w:marTop w:val="0"/>
          <w:marBottom w:val="0"/>
          <w:divBdr>
            <w:top w:val="none" w:sz="0" w:space="0" w:color="auto"/>
            <w:left w:val="none" w:sz="0" w:space="0" w:color="auto"/>
            <w:bottom w:val="none" w:sz="0" w:space="0" w:color="auto"/>
            <w:right w:val="none" w:sz="0" w:space="0" w:color="auto"/>
          </w:divBdr>
        </w:div>
        <w:div w:id="2073966347">
          <w:marLeft w:val="0"/>
          <w:marRight w:val="0"/>
          <w:marTop w:val="0"/>
          <w:marBottom w:val="0"/>
          <w:divBdr>
            <w:top w:val="none" w:sz="0" w:space="0" w:color="auto"/>
            <w:left w:val="none" w:sz="0" w:space="0" w:color="auto"/>
            <w:bottom w:val="none" w:sz="0" w:space="0" w:color="auto"/>
            <w:right w:val="none" w:sz="0" w:space="0" w:color="auto"/>
          </w:divBdr>
        </w:div>
        <w:div w:id="934829270">
          <w:marLeft w:val="0"/>
          <w:marRight w:val="0"/>
          <w:marTop w:val="0"/>
          <w:marBottom w:val="0"/>
          <w:divBdr>
            <w:top w:val="none" w:sz="0" w:space="0" w:color="auto"/>
            <w:left w:val="none" w:sz="0" w:space="0" w:color="auto"/>
            <w:bottom w:val="none" w:sz="0" w:space="0" w:color="auto"/>
            <w:right w:val="none" w:sz="0" w:space="0" w:color="auto"/>
          </w:divBdr>
        </w:div>
        <w:div w:id="370082002">
          <w:marLeft w:val="0"/>
          <w:marRight w:val="0"/>
          <w:marTop w:val="0"/>
          <w:marBottom w:val="0"/>
          <w:divBdr>
            <w:top w:val="none" w:sz="0" w:space="0" w:color="auto"/>
            <w:left w:val="none" w:sz="0" w:space="0" w:color="auto"/>
            <w:bottom w:val="none" w:sz="0" w:space="0" w:color="auto"/>
            <w:right w:val="none" w:sz="0" w:space="0" w:color="auto"/>
          </w:divBdr>
        </w:div>
        <w:div w:id="321587122">
          <w:marLeft w:val="0"/>
          <w:marRight w:val="0"/>
          <w:marTop w:val="0"/>
          <w:marBottom w:val="0"/>
          <w:divBdr>
            <w:top w:val="none" w:sz="0" w:space="0" w:color="auto"/>
            <w:left w:val="none" w:sz="0" w:space="0" w:color="auto"/>
            <w:bottom w:val="none" w:sz="0" w:space="0" w:color="auto"/>
            <w:right w:val="none" w:sz="0" w:space="0" w:color="auto"/>
          </w:divBdr>
        </w:div>
        <w:div w:id="1005354762">
          <w:marLeft w:val="0"/>
          <w:marRight w:val="0"/>
          <w:marTop w:val="0"/>
          <w:marBottom w:val="0"/>
          <w:divBdr>
            <w:top w:val="none" w:sz="0" w:space="0" w:color="auto"/>
            <w:left w:val="none" w:sz="0" w:space="0" w:color="auto"/>
            <w:bottom w:val="none" w:sz="0" w:space="0" w:color="auto"/>
            <w:right w:val="none" w:sz="0" w:space="0" w:color="auto"/>
          </w:divBdr>
        </w:div>
        <w:div w:id="1396391706">
          <w:marLeft w:val="0"/>
          <w:marRight w:val="0"/>
          <w:marTop w:val="0"/>
          <w:marBottom w:val="0"/>
          <w:divBdr>
            <w:top w:val="none" w:sz="0" w:space="0" w:color="auto"/>
            <w:left w:val="none" w:sz="0" w:space="0" w:color="auto"/>
            <w:bottom w:val="none" w:sz="0" w:space="0" w:color="auto"/>
            <w:right w:val="none" w:sz="0" w:space="0" w:color="auto"/>
          </w:divBdr>
        </w:div>
        <w:div w:id="1640837450">
          <w:marLeft w:val="0"/>
          <w:marRight w:val="0"/>
          <w:marTop w:val="0"/>
          <w:marBottom w:val="0"/>
          <w:divBdr>
            <w:top w:val="none" w:sz="0" w:space="0" w:color="auto"/>
            <w:left w:val="none" w:sz="0" w:space="0" w:color="auto"/>
            <w:bottom w:val="none" w:sz="0" w:space="0" w:color="auto"/>
            <w:right w:val="none" w:sz="0" w:space="0" w:color="auto"/>
          </w:divBdr>
        </w:div>
        <w:div w:id="204564107">
          <w:marLeft w:val="0"/>
          <w:marRight w:val="0"/>
          <w:marTop w:val="0"/>
          <w:marBottom w:val="0"/>
          <w:divBdr>
            <w:top w:val="none" w:sz="0" w:space="0" w:color="auto"/>
            <w:left w:val="none" w:sz="0" w:space="0" w:color="auto"/>
            <w:bottom w:val="none" w:sz="0" w:space="0" w:color="auto"/>
            <w:right w:val="none" w:sz="0" w:space="0" w:color="auto"/>
          </w:divBdr>
        </w:div>
        <w:div w:id="212278098">
          <w:marLeft w:val="0"/>
          <w:marRight w:val="0"/>
          <w:marTop w:val="0"/>
          <w:marBottom w:val="0"/>
          <w:divBdr>
            <w:top w:val="none" w:sz="0" w:space="0" w:color="auto"/>
            <w:left w:val="none" w:sz="0" w:space="0" w:color="auto"/>
            <w:bottom w:val="none" w:sz="0" w:space="0" w:color="auto"/>
            <w:right w:val="none" w:sz="0" w:space="0" w:color="auto"/>
          </w:divBdr>
        </w:div>
        <w:div w:id="536505943">
          <w:marLeft w:val="0"/>
          <w:marRight w:val="0"/>
          <w:marTop w:val="0"/>
          <w:marBottom w:val="0"/>
          <w:divBdr>
            <w:top w:val="none" w:sz="0" w:space="0" w:color="auto"/>
            <w:left w:val="none" w:sz="0" w:space="0" w:color="auto"/>
            <w:bottom w:val="none" w:sz="0" w:space="0" w:color="auto"/>
            <w:right w:val="none" w:sz="0" w:space="0" w:color="auto"/>
          </w:divBdr>
        </w:div>
        <w:div w:id="787119454">
          <w:marLeft w:val="0"/>
          <w:marRight w:val="0"/>
          <w:marTop w:val="0"/>
          <w:marBottom w:val="0"/>
          <w:divBdr>
            <w:top w:val="none" w:sz="0" w:space="0" w:color="auto"/>
            <w:left w:val="none" w:sz="0" w:space="0" w:color="auto"/>
            <w:bottom w:val="none" w:sz="0" w:space="0" w:color="auto"/>
            <w:right w:val="none" w:sz="0" w:space="0" w:color="auto"/>
          </w:divBdr>
        </w:div>
        <w:div w:id="76003345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9-0009-6247-8951" TargetMode="External"/><Relationship Id="rId2" Type="http://schemas.openxmlformats.org/officeDocument/2006/relationships/hyperlink" Target="https://orcid.org/0009-0006-0791-0930" TargetMode="External"/><Relationship Id="rId1" Type="http://schemas.openxmlformats.org/officeDocument/2006/relationships/hyperlink" Target="https://orcid.org/0000-0001-9981-073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oi.org/10.47865/igob.vol9.n34.2026.46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tM3ObeDZtdSKj5dEA0jcR3E36Q==">CgMxLjAyCWguMzBqMHpsbDIJaC4yZXQ5MnAwMghoLnR5amN3dDIJaC4zZHk2dmttMgloLjFmb2I5dGUyCWguM3pueXNoNzIJaC4xdDNoNXNmMgloLjRkMzRvZzgyDmguYnY1d3BxZW8zaDVzMgloLjE3ZHA4dnUyCGguZ2pkZ3hzMgloLjI2aW4xcmcyCWguM3dod21sNDIJaC4yYm42d3N4MghoLnFzaDcwcTIJaC4zYXM0cG9qMgloLjRpN29qaHAyCWguMnhjeXRwaTIIaC5sbnhiejkyCWguMXB4ZXp3YzIJaC4zNW5rdW4yMgloLjFjaTkzeGI4AHIhMW1jVEdteklMV3JIV3EwaFRhMUlWcUVZOGhJM2NScXZ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Mac20</b:Tag>
    <b:SourceType>Report</b:SourceType>
    <b:Guid>{F486C03C-BBDE-4352-8603-4F82B3DE89A2}</b:Guid>
    <b:Title>Identidad y globalización</b:Title>
    <b:Year>2020</b:Year>
    <b:Publisher>CONACULTA</b:Publisher>
    <b:City>México</b:City>
    <b:Author>
      <b:Author>
        <b:NameList>
          <b:Person>
            <b:Last>Mac</b:Last>
            <b:Middle>Antonio</b:Middle>
            <b:First>José </b:First>
          </b:Person>
        </b:NameList>
      </b:Author>
    </b:Author>
    <b:RefOrder>1</b:RefOrder>
  </b:Source>
  <b:Source>
    <b:Tag>Nor20</b:Tag>
    <b:SourceType>InternetSite</b:SourceType>
    <b:Guid>{1A32ED45-DC6E-4244-ACEE-942271FD87B6}</b:Guid>
    <b:Title>Identidad cultural y cómo fomentarla</b:Title>
    <b:Year>2020</b:Year>
    <b:City>S/C</b:City>
    <b:Author>
      <b:Author>
        <b:NameList>
          <b:Person>
            <b:Last>Noren</b:Last>
            <b:First>Anders</b:First>
          </b:Person>
        </b:NameList>
      </b:Author>
    </b:Author>
    <b:URL>https://www.programapd.pe/identidad-cultural-y-como-fomentarla/</b:URL>
    <b:Month>febrero</b:Month>
    <b:Day>04</b:Day>
    <b:RefOrder>4</b:RefOrder>
  </b:Source>
  <b:Source>
    <b:Tag>Mel20</b:Tag>
    <b:SourceType>JournalArticle</b:SourceType>
    <b:Guid>{90AF07A3-A59B-4D74-AFB3-DE7D23B7D10E}</b:Guid>
    <b:Title>Pérdida de identidad cultural: un retroceso para las comunidades indígenas y, por ende, para el turismo</b:Title>
    <b:JournalName>In V Congreso Virtual Internacional Desarrollo Económico, Social y Empresarial en Iberoamérica. Universidad Autónoma de San Luis Potosí</b:JournalName>
    <b:Year>2020</b:Year>
    <b:Pages>947-956</b:Pages>
    <b:Author>
      <b:Author>
        <b:NameList>
          <b:Person>
            <b:Last>Melo</b:Last>
            <b:First>Daniel</b:First>
          </b:Person>
        </b:NameList>
      </b:Author>
    </b:Author>
    <b:URL>https://www.eumed.net/actas/20/desarrollo-empresarial/66-perdida-de-identidad-cultural.pdf</b:URL>
    <b:RefOrder>5</b:RefOrder>
  </b:Source>
  <b:Source>
    <b:Tag>Man18</b:Tag>
    <b:SourceType>InternetSite</b:SourceType>
    <b:Guid>{C702134A-07E3-40F6-9F77-475C107C3D69}</b:Guid>
    <b:Title>¿Por qué es importante trabajar la identidad cultural de cada pueblo?</b:Title>
    <b:InternetSiteTitle>Almanatura</b:InternetSiteTitle>
    <b:Year>2018</b:Year>
    <b:Month>mayo</b:Month>
    <b:Day>29</b:Day>
    <b:URL>https://almanatura.com/2018/05/por-que-importante-trabajar-identidad-cultural-cada-pueblo/</b:URL>
    <b:Author>
      <b:Author>
        <b:NameList>
          <b:Person>
            <b:Last>Manzano</b:Last>
            <b:First>Israel</b:First>
          </b:Person>
        </b:NameList>
      </b:Author>
    </b:Author>
    <b:RefOrder>6</b:RefOrder>
  </b:Source>
  <b:Source>
    <b:Tag>Fer202</b:Tag>
    <b:SourceType>JournalArticle</b:SourceType>
    <b:Guid>{B64F6D61-1FD4-494B-9004-D2F1896164DB}</b:Guid>
    <b:Title>Identidad cultural y derecho a la educación</b:Title>
    <b:JournalName>Contextos Educativos. Revista de Educación</b:JournalName>
    <b:Year>2020</b:Year>
    <b:Pages>23-39</b:Pages>
    <b:Volume>26</b:Volume>
    <b:DOI>10.18172/con.4445</b:DOI>
    <b:Author>
      <b:Author>
        <b:NameList>
          <b:Person>
            <b:Last>Fernández</b:Last>
            <b:Middle>Manuel</b:Middle>
            <b:First>Juan</b:First>
          </b:Person>
        </b:NameList>
      </b:Author>
    </b:Author>
    <b:RefOrder>7</b:RefOrder>
  </b:Source>
  <b:Source>
    <b:Tag>Roi19</b:Tag>
    <b:SourceType>Report</b:SourceType>
    <b:Guid>{F4C47309-5D54-4B70-996A-BDE9D72198FD}</b:Guid>
    <b:Title>LA INTEGRACIÓN DE LAS TECNOLOGÍAS DE LA INFORMACIÓN Y LA COMUNICACIÓN Y LA INTERCULTURALIDAD EN LAS AULAS.</b:Title>
    <b:Year>2019</b:Year>
    <b:Author>
      <b:Author>
        <b:NameList>
          <b:Person>
            <b:Last>Roig</b:Last>
            <b:First>Rosabel</b:First>
          </b:Person>
          <b:Person>
            <b:Last>Fiorucci</b:Last>
            <b:First>Massimiliano</b:First>
          </b:Person>
        </b:NameList>
      </b:Author>
    </b:Author>
    <b:Publisher>S/E</b:Publisher>
    <b:City>S/C</b:City>
    <b:RefOrder>8</b:RefOrder>
  </b:Source>
  <b:Source>
    <b:Tag>Mon201</b:Tag>
    <b:SourceType>InternetSite</b:SourceType>
    <b:Guid>{4A0A7895-8D85-42EF-BC84-DE024138143E}</b:Guid>
    <b:Title>Cohesión social: sus características y componentes</b:Title>
    <b:Year>2020</b:Year>
    <b:InternetSiteTitle>Psicología y mente</b:InternetSiteTitle>
    <b:Month>junio</b:Month>
    <b:Day>11</b:Day>
    <b:URL>https://psicologiaymente.com/social/cohesion-social</b:URL>
    <b:Author>
      <b:Author>
        <b:NameList>
          <b:Person>
            <b:Last>Montagud</b:Last>
            <b:First>Nahum</b:First>
          </b:Person>
        </b:NameList>
      </b:Author>
    </b:Author>
    <b:RefOrder>9</b:RefOrder>
  </b:Source>
  <b:Source>
    <b:Tag>Bru21</b:Tag>
    <b:SourceType>JournalArticle</b:SourceType>
    <b:Guid>{00224C9C-938A-4BA2-92E0-7F63735550C2}</b:Guid>
    <b:Title>Los símbolos de identidad en conexión con el patrimonio</b:Title>
    <b:Year>2021</b:Year>
    <b:Pages>1-22</b:Pages>
    <b:JournalName>Questión</b:JournalName>
    <b:Author>
      <b:Author>
        <b:NameList>
          <b:Person>
            <b:Last>Brull</b:Last>
            <b:First>Maribel</b:First>
          </b:Person>
        </b:NameList>
      </b:Author>
    </b:Author>
    <b:RefOrder>10</b:RefOrder>
  </b:Source>
  <b:Source>
    <b:Tag>Mag21</b:Tag>
    <b:SourceType>ArticleInAPeriodical</b:SourceType>
    <b:Guid>{1537C58B-14CF-4B80-9E2E-96561503E476}</b:Guid>
    <b:Title>Los símbolos y su importancia</b:Title>
    <b:Year>2021</b:Year>
    <b:PeriodicalTitle>Prensa Libre</b:PeriodicalTitle>
    <b:Month>setiembre</b:Month>
    <b:Day>25</b:Day>
    <b:Pages>6</b:Pages>
    <b:Author>
      <b:Author>
        <b:NameList>
          <b:Person>
            <b:Last>Magaña</b:Last>
            <b:Middle>María</b:Middle>
            <b:First>José </b:First>
          </b:Person>
        </b:NameList>
      </b:Author>
    </b:Author>
    <b:RefOrder>11</b:RefOrder>
  </b:Source>
  <b:Source>
    <b:Tag>Álv20</b:Tag>
    <b:SourceType>JournalArticle</b:SourceType>
    <b:Guid>{0F132818-1354-4D8E-8424-50B8A79B337D}</b:Guid>
    <b:Title>Cuidados en el recién nacido de acuerdo a creencias y costumbres en diferentes culturas</b:Title>
    <b:JournalName>Revista De La Escuela De Enfermería</b:JournalName>
    <b:Year>2020</b:Year>
    <b:Pages>109-115</b:Pages>
    <b:Volume>7</b:Volume>
    <b:Issue>1</b:Issue>
    <b:DOI>https://doi.org/10.35383/cietna.v7i1.348 </b:DOI>
    <b:Author>
      <b:Author>
        <b:NameList>
          <b:Person>
            <b:Last>Álvarez</b:Last>
            <b:First>Alicia</b:First>
          </b:Person>
          <b:Person>
            <b:Last>Casique</b:Last>
            <b:First>Leticia</b:First>
          </b:Person>
        </b:NameList>
      </b:Author>
    </b:Author>
    <b:RefOrder>12</b:RefOrder>
  </b:Source>
  <b:Source>
    <b:Tag>Cár24</b:Tag>
    <b:SourceType>JournalArticle</b:SourceType>
    <b:Guid>{3BA4C519-3C43-4ABC-BA51-FBE2833CE7E6}</b:Guid>
    <b:Title>La importancia de las tradiciones orales como medio para fortalecer el desarrollo de la identidad cultural en la educación</b:Title>
    <b:JournalName>Ciencia Latina: Revista Multidisciplinar</b:JournalName>
    <b:Year>2024</b:Year>
    <b:Pages>6101-6126</b:Pages>
    <b:Volume>8</b:Volume>
    <b:Issue>3</b:Issue>
    <b:Author>
      <b:Author>
        <b:NameList>
          <b:Person>
            <b:Last>Cárdenas</b:Last>
            <b:First>Sandra</b:First>
          </b:Person>
          <b:Person>
            <b:Last>Hernández</b:Last>
            <b:First>Darwin</b:First>
          </b:Person>
        </b:NameList>
      </b:Author>
    </b:Author>
    <b:URL>https://dialnet.unirioja.es/servlet/articulo?codigo=9787385</b:URL>
    <b:RefOrder>13</b:RefOrder>
  </b:Source>
  <b:Source>
    <b:Tag>Lad20</b:Tag>
    <b:SourceType>InternetSite</b:SourceType>
    <b:Guid>{824FD7E5-23AC-48E9-B0DA-DEA73B22EB88}</b:Guid>
    <b:Title>La importancia de aprender Historia para la sociedad</b:Title>
    <b:Year>2020</b:Year>
    <b:InternetSiteTitle>Campus Virtual</b:InternetSiteTitle>
    <b:Month>setiembre</b:Month>
    <b:Day>04</b:Day>
    <b:URL>https://www.ui1.es/blog-ui1/la-importancia-de-aprender-historia-para-la-sociedad#:~:text=La%20historia%20es%20una%20ciencia,sociedad%20en%20la%20que%20vivimos.</b:URL>
    <b:Author>
      <b:Author>
        <b:NameList>
          <b:Person>
            <b:Last>Lado</b:Last>
            <b:First>Sandra</b:First>
          </b:Person>
        </b:NameList>
      </b:Author>
    </b:Author>
    <b:RefOrder>14</b:RefOrder>
  </b:Source>
  <b:Source>
    <b:Tag>Esp192</b:Tag>
    <b:SourceType>Book</b:SourceType>
    <b:Guid>{8F435F55-D64D-4945-8924-B9A7B9F1F078}</b:Guid>
    <b:Title>Historia para todos: recreación histórica, didáctica y democratización del conocimiento</b:Title>
    <b:Year>2019</b:Year>
    <b:Publisher>Universidad de Lleida</b:Publisher>
    <b:Author>
      <b:Author>
        <b:NameList>
          <b:Person>
            <b:Last>Español</b:Last>
            <b:First>Darío</b:First>
          </b:Person>
        </b:NameList>
      </b:Author>
    </b:Author>
    <b:URL>https://repositori.udl.cat/server/api/core/bitstreams/a266bcc5-53c0-483c-9e96-9a7231136faf/content</b:URL>
    <b:RefOrder>15</b:RefOrder>
  </b:Source>
  <b:Source>
    <b:Tag>Ram18</b:Tag>
    <b:SourceType>InternetSite</b:SourceType>
    <b:Guid>{06335863-FD25-4518-9445-EB960196BB7C}</b:Guid>
    <b:Title>Definición de Historia Regional</b:Title>
    <b:Year>2018</b:Year>
    <b:InternetSiteTitle>Enciclopedia</b:InternetSiteTitle>
    <b:Month>mayo</b:Month>
    <b:Day>14</b:Day>
    <b:URL>https://enciclopedia.net/historia-regional/</b:URL>
    <b:Author>
      <b:Author>
        <b:NameList>
          <b:Person>
            <b:Last>Ramos</b:Last>
            <b:First>Gonzalo</b:First>
          </b:Person>
        </b:NameList>
      </b:Author>
    </b:Author>
    <b:RefOrder>16</b:RefOrder>
  </b:Source>
  <b:Source>
    <b:Tag>Gon191</b:Tag>
    <b:SourceType>JournalArticle</b:SourceType>
    <b:Guid>{3EE67355-60F8-4357-BB39-BEEFCD48D238}</b:Guid>
    <b:Title>Nuevos desafíos para la educación ambiental: la vulnerabilidad y la resiliencia social ante el cambio climático</b:Title>
    <b:Year>2019</b:Year>
    <b:JournalName>Cuadernos de Investigación UNED</b:JournalName>
    <b:Pages>71-77</b:Pages>
    <b:Volume>11</b:Volume>
    <b:Issue>1</b:Issue>
    <b:Author>
      <b:Author>
        <b:NameList>
          <b:Person>
            <b:Last>González</b:Last>
            <b:First>Édgar</b:First>
          </b:Person>
          <b:Person>
            <b:Last>Bello</b:Last>
            <b:First>Laura</b:First>
          </b:Person>
          <b:Person>
            <b:Last>Maldonado</b:Last>
            <b:First>Ana</b:First>
          </b:Person>
          <b:Person>
            <b:Last>Cruz</b:Last>
            <b:First>Gloria</b:First>
          </b:Person>
          <b:Person>
            <b:Last>Méndez</b:Last>
            <b:First>Luis</b:First>
          </b:Person>
        </b:NameList>
      </b:Author>
    </b:Author>
    <b:URL>https://www.scielo.sa.cr/pdf/cinn/v11n1/1659-4266-cinn-11-01-71.pdf</b:URL>
    <b:RefOrder>17</b:RefOrder>
  </b:Source>
  <b:Source>
    <b:Tag>Tar19</b:Tag>
    <b:SourceType>JournalArticle</b:SourceType>
    <b:Guid>{1A6D4274-6FE0-414B-B1E2-5B568A91F679}</b:Guid>
    <b:Title>La historia regional desde la perspectiva de las Ciencias Médicas</b:Title>
    <b:Year>2019</b:Year>
    <b:JournalName>Humanidades Médicas</b:JournalName>
    <b:Pages>887-910</b:Pages>
    <b:Author>
      <b:Author>
        <b:NameList>
          <b:Person>
            <b:Last>Tarajano</b:Last>
            <b:First>Antonio</b:First>
          </b:Person>
        </b:NameList>
      </b:Author>
    </b:Author>
    <b:RefOrder>18</b:RefOrder>
  </b:Source>
  <b:Source>
    <b:Tag>MarcadorDePosición4</b:Tag>
    <b:SourceType>JournalArticle</b:SourceType>
    <b:Guid>{4D35AA3A-A59C-47FD-9375-9A3CE54E2D60}</b:Guid>
    <b:Title>El vínculo de la historia local a la historia regional y nacional. Experiencias en su enseñanza</b:Title>
    <b:JournalName>Scielo</b:JournalName>
    <b:Year>2021</b:Year>
    <b:Author>
      <b:Author>
        <b:NameList>
          <b:Person>
            <b:Last>Hernández</b:Last>
            <b:Middle>Carlos</b:Middle>
            <b:First>Juan </b:First>
          </b:Person>
          <b:Person>
            <b:Last>Reinoso </b:Last>
            <b:First>Isabel</b:First>
          </b:Person>
        </b:NameList>
      </b:Author>
    </b:Author>
    <b:Month>agosto</b:Month>
    <b:Day>02</b:Day>
    <b:Volume>19</b:Volume>
    <b:Issue>3</b:Issue>
    <b:URL>http://scielo.sld.cu/scielo.php?script=sci_arttext&amp;pid=S1815-76962021000300821</b:URL>
    <b:DOI>http://orcid.org/0000-0003-4468-2253</b:DOI>
    <b:RefOrder>19</b:RefOrder>
  </b:Source>
  <b:Source>
    <b:Tag>Cer19</b:Tag>
    <b:SourceType>JournalArticle</b:SourceType>
    <b:Guid>{EE4DF431-B11D-4113-88FC-AFA5859E8239}</b:Guid>
    <b:Title>La importancia de la historia en el orgullo nacional de un país</b:Title>
    <b:JournalName>Universidad de Piura</b:JournalName>
    <b:Year>2019</b:Year>
    <b:Pages>1-16</b:Pages>
    <b:Author>
      <b:Author>
        <b:NameList>
          <b:Person>
            <b:Last>Cerna</b:Last>
            <b:First>Daniela</b:First>
          </b:Person>
        </b:NameList>
      </b:Author>
    </b:Author>
    <b:RefOrder>20</b:RefOrder>
  </b:Source>
  <b:Source>
    <b:Tag>Mam21</b:Tag>
    <b:SourceType>Book</b:SourceType>
    <b:Guid>{954B6C1B-8A8F-448B-80AB-39FA141CCF35}</b:Guid>
    <b:Title>Influencia de los Museos de Tacna en la Historia Regional en el Aprendizaje de la Identidad Local en Estudiantes de la Escuela de Educación Superior Pedagógico Público “José Jiménez Borja¨ de Tacna</b:Title>
    <b:Year>2021</b:Year>
    <b:City>Lima</b:City>
    <b:Publisher>Cantuta</b:Publisher>
    <b:Author>
      <b:Author>
        <b:NameList>
          <b:Person>
            <b:Last>Mamani</b:Last>
            <b:First>Aurelio</b:First>
          </b:Person>
        </b:NameList>
      </b:Author>
    </b:Author>
    <b:RefOrder>21</b:RefOrder>
  </b:Source>
  <b:Source>
    <b:Tag>Cuy20</b:Tag>
    <b:SourceType>Book</b:SourceType>
    <b:Guid>{2197D727-3B33-4D50-8263-5068A3FD260C}</b:Guid>
    <b:Title>LA IMPORTANCIA DE LA IDENTIDAD CULTURAL PARA LOS ESTUDIANTES DEL NIVEL BÁSICO</b:Title>
    <b:Year>2020</b:Year>
    <b:City>Lima</b:City>
    <b:Publisher>USMP</b:Publisher>
    <b:Author>
      <b:Author>
        <b:NameList>
          <b:Person>
            <b:Last>Cuyo</b:Last>
            <b:Middle>Fiorela</b:Middle>
            <b:First>Claudia</b:First>
          </b:Person>
        </b:NameList>
      </b:Author>
    </b:Author>
    <b:RefOrder>22</b:RefOrder>
  </b:Source>
  <b:Source>
    <b:Tag>Lla19</b:Tag>
    <b:SourceType>Book</b:SourceType>
    <b:Guid>{9CF97564-F803-43C1-BD83-B308A97EE738}</b:Guid>
    <b:Title>Palmira: historia, desarrollo económico e identidad cultural</b:Title>
    <b:Year>2019</b:Year>
    <b:Publisher>Universidad del Valle</b:Publisher>
    <b:Author>
      <b:Author>
        <b:NameList>
          <b:Person>
            <b:Last>Llano</b:Last>
            <b:First>Alonso</b:First>
          </b:Person>
        </b:NameList>
      </b:Author>
    </b:Author>
    <b:URL>https://books.google.es/books?hl=es&amp;lr=&amp;id=qjmnEAAAQBAJ&amp;oi=fnd&amp;pg=PA9&amp;dq=El+impacto+de+la+historia+regional+y+el+desarrollo+de+identidad+cultural&amp;ots=-X2VIiRFuI&amp;sig=bzvBt9jEmJi_fUBNG7SsXlcWP2I#v=onepage&amp;q=El%20impacto%20de%20la%20historia%20regional%20y%2</b:URL>
    <b:RefOrder>23</b:RefOrder>
  </b:Source>
  <b:Source>
    <b:Tag>Ace21</b:Tag>
    <b:SourceType>JournalArticle</b:SourceType>
    <b:Guid>{6C73D66F-3EE5-41D7-9BA1-E21EF70EEEA9}</b:Guid>
    <b:Title>La historia local, la historia regional y la microhistoria como experiencia y posibilidad para la historia pública</b:Title>
    <b:Year>2021</b:Year>
    <b:DOI>10.22517/25392662.24623</b:DOI>
    <b:JournalName> Ciencia Nueva, revista de Historia y Política</b:JournalName>
    <b:Pages>1-18</b:Pages>
    <b:Volume>5</b:Volume>
    <b:Issue>2</b:Issue>
    <b:Author>
      <b:Author>
        <b:NameList>
          <b:Person>
            <b:Last>Acevedo</b:Last>
            <b:First>Álvaro</b:First>
          </b:Person>
        </b:NameList>
      </b:Author>
    </b:Author>
    <b:RefOrder>24</b:RefOrder>
  </b:Source>
  <b:Source>
    <b:Tag>Sup14</b:Tag>
    <b:SourceType>Book</b:SourceType>
    <b:Guid>{3CBF5571-91C6-4AC0-8D89-31C6DC8E998D}</b:Guid>
    <b:Title>Cómo probar una hipótesis</b:Title>
    <b:Year>2014</b:Year>
    <b:City>Lima</b:City>
    <b:Publisher> Bioestadistico</b:Publisher>
    <b:Author>
      <b:Author>
        <b:NameList>
          <b:Person>
            <b:Last>Supo</b:Last>
            <b:First>José</b:First>
          </b:Person>
        </b:NameList>
      </b:Author>
    </b:Author>
    <b:StandardNumber>1494305925</b:StandardNumber>
    <b:URL>www.bioestadistico.com</b:URL>
    <b:RefOrder>34</b:RefOrder>
  </b:Source>
  <b:Source>
    <b:Tag>Tes21</b:Tag>
    <b:SourceType>JournalArticle</b:SourceType>
    <b:Guid>{06893CDF-9917-4EAF-BD7A-DF5EAC7DFF56}</b:Guid>
    <b:Title>Fortalecimiento de la identidad cultural en la Educación Básica Regular </b:Title>
    <b:Year>2021</b:Year>
    <b:Pages>47-58</b:Pages>
    <b:JournalName>: Educare et Comunicare</b:JournalName>
    <b:Author>
      <b:Author>
        <b:NameList>
          <b:Person>
            <b:Last>Tesén </b:Last>
            <b:First>Jorge</b:First>
          </b:Person>
          <b:Person>
            <b:Last>Ramírez</b:Last>
            <b:First>Jesús</b:First>
          </b:Person>
        </b:NameList>
      </b:Author>
    </b:Author>
    <b:RefOrder>35</b:RefOrder>
  </b:Source>
  <b:Source>
    <b:Tag>Cho17</b:Tag>
    <b:SourceType>JournalArticle</b:SourceType>
    <b:Guid>{D20AB31B-9200-449C-9E84-C30DB8F59302}</b:Guid>
    <b:Title>La identidad cutural: inclusiones y exclusiones </b:Title>
    <b:JournalName>HORIZONTES Y RAÍCES</b:JournalName>
    <b:Year>2019</b:Year>
    <b:Pages>1-16</b:Pages>
    <b:Author>
      <b:Author>
        <b:NameList>
          <b:Person>
            <b:Last>González </b:Last>
            <b:First>Jorge</b:First>
          </b:Person>
        </b:NameList>
      </b:Author>
    </b:Author>
    <b:RefOrder>2</b:RefOrder>
  </b:Source>
  <b:Source>
    <b:Tag>Góm18</b:Tag>
    <b:SourceType>JournalArticle</b:SourceType>
    <b:Guid>{B3464F9C-E243-4EB5-BEB5-6F2A46D0949A}</b:Guid>
    <b:Title>La identidad cultural, pervivencia del totemismo</b:Title>
    <b:JournalName>Ensayos de filosofía</b:JournalName>
    <b:Year>2018</b:Year>
    <b:Pages>1-18</b:Pages>
    <b:Author>
      <b:Author>
        <b:NameList>
          <b:Person>
            <b:Last>Gómez</b:Last>
            <b:First>Pedro</b:First>
          </b:Person>
        </b:NameList>
      </b:Author>
    </b:Author>
    <b:Volume>7</b:Volume>
    <b:Issue>4</b:Issue>
    <b:URL>https://www.ensayos-filosofia.es/archivos/articulo/la-identidad-cultural-pervivencia-del-totemismo</b:URL>
    <b:RefOrder>36</b:RefOrder>
  </b:Source>
  <b:Source>
    <b:Tag>Bus19</b:Tag>
    <b:SourceType>Book</b:SourceType>
    <b:Guid>{61D92564-0D5E-4A87-9E9E-77E8A6B6D4D3}</b:Guid>
    <b:Title>El conocimiento de la historia regional de Huaura y la identidad cultural de los docentes del área de ciencias sociales</b:Title>
    <b:Year>2019</b:Year>
    <b:City>Lima</b:City>
    <b:Publisher>Cantuta</b:Publisher>
    <b:Author>
      <b:Author>
        <b:NameList>
          <b:Person>
            <b:Last>Bustamante</b:Last>
            <b:First>Ricardo</b:First>
          </b:Person>
        </b:NameList>
      </b:Author>
    </b:Author>
    <b:RefOrder>37</b:RefOrder>
  </b:Source>
  <b:Source>
    <b:Tag>Vil19</b:Tag>
    <b:SourceType>Book</b:SourceType>
    <b:Guid>{0ED3C766-9EFF-4777-A53A-BC5F3CE40717}</b:Guid>
    <b:Title>Niveles alcanzados en el desarrollo de la identidad cultural regional en estudiantes de cuarto grado de primaria, después del Taller de Marinera Norteña desarrollado en el CPB “La Asunción” Trujillo, 2019</b:Title>
    <b:Year>2019</b:Year>
    <b:City>Trujillo</b:City>
    <b:Publisher>Escuela Superior de Arte Dramático de Trujillo</b:Publisher>
    <b:Author>
      <b:Author>
        <b:NameList>
          <b:Person>
            <b:Last>Villanueva</b:Last>
            <b:Middle>Emperatriz</b:Middle>
            <b:First>Victoria </b:First>
          </b:Person>
        </b:NameList>
      </b:Author>
    </b:Author>
    <b:RefOrder>38</b:RefOrder>
  </b:Source>
  <b:Source>
    <b:Tag>Hua18</b:Tag>
    <b:SourceType>Book</b:SourceType>
    <b:Guid>{18B36917-F7D3-40F8-BE91-8A9B11615C05}</b:Guid>
    <b:Title>HISTORIA LOCAL COMO ESTRATEGIA DIDÁCTICA PARA FORTALECER LA IDENTIDAD CULTURAL EN ESTUDIANTES DE QUINUA –AYACUCHO</b:Title>
    <b:Year>2018</b:Year>
    <b:City>Lima</b:City>
    <b:Publisher>USIL</b:Publisher>
    <b:Author>
      <b:Author>
        <b:NameList>
          <b:Person>
            <b:Last>Huamaní</b:Last>
            <b:Middle>Marcedes</b:Middle>
            <b:First>Nancy </b:First>
          </b:Person>
        </b:NameList>
      </b:Author>
    </b:Author>
    <b:RefOrder>3</b:RefOrder>
  </b:Source>
  <b:Source>
    <b:Tag>Cam18</b:Tag>
    <b:SourceType>JournalArticle</b:SourceType>
    <b:Guid>{89AE84DD-1233-4E1D-A351-329F2FC6721C}</b:Guid>
    <b:Title>Estudio de la identidad cultural mediante una construcción epistémica del concepto identidad cultural regional</b:Title>
    <b:Year>2018</b:Year>
    <b:JournalName>Scielo</b:JournalName>
    <b:Pages>1-15</b:Pages>
    <b:Author>
      <b:Author>
        <b:NameList>
          <b:Person>
            <b:Last>Campos </b:Last>
            <b:First>Hugo</b:First>
          </b:Person>
        </b:NameList>
      </b:Author>
    </b:Author>
    <b:RefOrder>39</b:RefOrder>
  </b:Source>
  <b:Source>
    <b:Tag>Sal18</b:Tag>
    <b:SourceType>JournalArticle</b:SourceType>
    <b:Guid>{0E8015C1-AF61-4577-92E1-74946313BE88}</b:Guid>
    <b:Title>SOBRE LA CONSTRUCCIÓN DE LA IDENTIDAD EN LAS PRÀCTICAS CULTURALES</b:Title>
    <b:JournalName>Estudis literaris</b:JournalName>
    <b:Year>2018</b:Year>
    <b:Pages>23-42</b:Pages>
    <b:Author>
      <b:Author>
        <b:NameList>
          <b:Person>
            <b:Last>Saldaña</b:Last>
            <b:First>Alfredo</b:First>
          </b:Person>
        </b:NameList>
      </b:Author>
    </b:Author>
    <b:RefOrder>40</b:RefOrder>
  </b:Source>
  <b:Source>
    <b:Tag>Fer23</b:Tag>
    <b:SourceType>InternetSite</b:SourceType>
    <b:Guid>{14EACCD8-E647-4E3D-9727-85E80C02BA84}</b:Guid>
    <b:Title>Identidad cultural, ¿qué es y por qué es algo tan relevante?</b:Title>
    <b:Year>2023</b:Year>
    <b:InternetSiteTitle>World visión</b:InternetSiteTitle>
    <b:Month>abril</b:Month>
    <b:Day>18</b:Day>
    <b:URL>https://home.worldvisionamericalatina.org/identidad-cultural-que-es/#!</b:URL>
    <b:Author>
      <b:Author>
        <b:NameList>
          <b:Person>
            <b:Last>Fernández</b:Last>
            <b:First>Rocío</b:First>
          </b:Person>
        </b:NameList>
      </b:Author>
    </b:Author>
    <b:RefOrder>30</b:RefOrder>
  </b:Source>
  <b:Source>
    <b:Tag>Ale18</b:Tag>
    <b:SourceType>InternetSite</b:SourceType>
    <b:Guid>{6514053A-1607-43E7-8B9F-6C54686148EB}</b:Guid>
    <b:Title>La conceptualización de la sociedad actual: aportaciones y limitaciones</b:Title>
    <b:InternetSiteTitle>Barataria</b:InternetSiteTitle>
    <b:Year>2018</b:Year>
    <b:Month>setiembre</b:Month>
    <b:Day>10</b:Day>
    <b:URL>https://www.redalyc.org/journal/3221/322158667001/html/</b:URL>
    <b:Author>
      <b:Author>
        <b:NameList>
          <b:Person>
            <b:Last>Alemán </b:Last>
            <b:Middle>Francisco</b:Middle>
            <b:First>Pedro </b:First>
          </b:Person>
          <b:Person>
            <b:Last>García </b:Last>
            <b:First>Adolfo</b:First>
          </b:Person>
        </b:NameList>
      </b:Author>
    </b:Author>
    <b:RefOrder>41</b:RefOrder>
  </b:Source>
  <b:Source>
    <b:Tag>Lob21</b:Tag>
    <b:SourceType>ArticleInAPeriodical</b:SourceType>
    <b:Guid>{39D32D7A-0C63-4F9F-AD03-ECEF3A08A4B8}</b:Guid>
    <b:Title>La importancia de la identidad cultural</b:Title>
    <b:Year>2021</b:Year>
    <b:Month>agosto</b:Month>
    <b:Day>02</b:Day>
    <b:Author>
      <b:Author>
        <b:NameList>
          <b:Person>
            <b:Last>Lobos</b:Last>
            <b:First>Albetty</b:First>
          </b:Person>
        </b:NameList>
      </b:Author>
    </b:Author>
    <b:PeriodicalTitle>Correo</b:PeriodicalTitle>
    <b:Pages>https://diariocorreo.pe/edicion/arequipa/la-importancia-de-la-identidad-cultural-noticia/</b:Pages>
    <b:RefOrder>31</b:RefOrder>
  </b:Source>
  <b:Source>
    <b:Tag>Gar211</b:Tag>
    <b:SourceType>JournalArticle</b:SourceType>
    <b:Guid>{B12125C5-3D27-4A09-A3C6-F32F1F2A21ED}</b:Guid>
    <b:Title>La Historia Regional y Local: Conocimientos Esenciales Dentro de la Educación Media</b:Title>
    <b:Year>2021</b:Year>
    <b:JournalName>Cienciaeduc</b:JournalName>
    <b:Pages>1-10</b:Pages>
    <b:Author>
      <b:Author>
        <b:NameList>
          <b:Person>
            <b:Last>García</b:Last>
            <b:First>Jesús</b:First>
          </b:Person>
        </b:NameList>
      </b:Author>
    </b:Author>
    <b:RefOrder>26</b:RefOrder>
  </b:Source>
  <b:Source>
    <b:Tag>Bem19</b:Tag>
    <b:SourceType>InternetSite</b:SourceType>
    <b:Guid>{C483CD6D-62C7-485C-A1BD-0068F4CFC293}</b:Guid>
    <b:Title>Definición de Historia Regional</b:Title>
    <b:InternetSiteTitle>DEfiniciones ABC</b:InternetSiteTitle>
    <b:Year>2019</b:Year>
    <b:Month>julio</b:Month>
    <b:Day>19</b:Day>
    <b:URL>https://www.definicionabc.com/historia/historia-regional.php#cerrar</b:URL>
    <b:Author>
      <b:Author>
        <b:NameList>
          <b:Person>
            <b:Last>Bembibre</b:Last>
            <b:First>Cecilia</b:First>
          </b:Person>
        </b:NameList>
      </b:Author>
    </b:Author>
    <b:RefOrder>25</b:RefOrder>
  </b:Source>
  <b:Source>
    <b:Tag>Hua19</b:Tag>
    <b:SourceType>Book</b:SourceType>
    <b:Guid>{354458E8-43B4-4251-B76A-ECC9F26D25E3}</b:Guid>
    <b:Title>CONOCIMIENTO DE LA HISTORIA REGIONAL EN ESTUDIANTES DE UNA INSTITUCIÓN EDUCATIVA DE EDUCACIÓN SECUNDARIA DE LA LOCALIDAD DE HUANCAVELICA</b:Title>
    <b:Year>2019</b:Year>
    <b:City>Huancavelica</b:City>
    <b:Publisher>UNIVERSIDAD NACIONAL DE HUANCAVELICA</b:Publisher>
    <b:Author>
      <b:Author>
        <b:NameList>
          <b:Person>
            <b:Last>Huamán</b:Last>
            <b:First>Gloria</b:First>
          </b:Person>
        </b:NameList>
      </b:Author>
    </b:Author>
    <b:RefOrder>42</b:RefOrder>
  </b:Source>
  <b:Source>
    <b:Tag>Cal19</b:Tag>
    <b:SourceType>JournalArticle</b:SourceType>
    <b:Guid>{B54228B7-6E6D-4A9B-A118-9D9DCB874683}</b:Guid>
    <b:Title>Fundamentos del estudio de la historia local en las ciencias sociales y su importancia para la educación ciudadana</b:Title>
    <b:JournalName>Revista Conrado</b:JournalName>
    <b:Year>2019</b:Year>
    <b:Pages>1-12</b:Pages>
    <b:Author>
      <b:Author>
        <b:NameList>
          <b:Person>
            <b:Last>Calvas</b:Last>
            <b:Middle>Gabriela</b:Middle>
            <b:First>María</b:First>
          </b:Person>
          <b:Person>
            <b:Last>Espinoza</b:Last>
            <b:Middle>Enrique</b:Middle>
            <b:First>Edualdo</b:First>
          </b:Person>
        </b:NameList>
      </b:Author>
    </b:Author>
    <b:URL>https://conrado.ucf.edu.cu/index.php/conrado/article/view/1124</b:URL>
    <b:RefOrder>43</b:RefOrder>
  </b:Source>
  <b:Source>
    <b:Tag>Rom19</b:Tag>
    <b:SourceType>JournalArticle</b:SourceType>
    <b:Guid>{ACAE515A-CF5A-416E-8C0B-A213B1CA8538}</b:Guid>
    <b:Title>El problema de la cultura en las ciencias sociales</b:Title>
    <b:JournalName>Culturales</b:JournalName>
    <b:Year>2019</b:Year>
    <b:Pages>1 - 33</b:Pages>
    <b:Volume>7</b:Volume>
    <b:Issue>e352</b:Issue>
    <b:DOI>https://doi.org/10.22234/recu.20190701.e352</b:DOI>
    <b:Author>
      <b:Author>
        <b:NameList>
          <b:Person>
            <b:Last>Romeu</b:Last>
            <b:Middle>Leticia</b:Middle>
            <b:First>Vivian</b:First>
          </b:Person>
        </b:NameList>
      </b:Author>
    </b:Author>
    <b:RefOrder>44</b:RefOrder>
  </b:Source>
  <b:Source>
    <b:Tag>Jar22</b:Tag>
    <b:SourceType>JournalArticle</b:SourceType>
    <b:Guid>{EC589B3F-08C5-4E1E-8EE0-B83EC53DF5A0}</b:Guid>
    <b:Title>Identidad cultural</b:Title>
    <b:JournalName>Revista de extención cultural</b:JournalName>
    <b:Year>2022</b:Year>
    <b:Pages>18 - 22</b:Pages>
    <b:Volume>1</b:Volume>
    <b:Issue>68</b:Issue>
    <b:Author>
      <b:Author>
        <b:NameList>
          <b:Person>
            <b:Last>Jaramillo</b:Last>
            <b:Middle>Adelaida</b:Middle>
            <b:First>María</b:First>
          </b:Person>
        </b:NameList>
      </b:Author>
    </b:Author>
    <b:URL>https://repositorio.unal.edu.co/handle/unal/83657</b:URL>
    <b:RefOrder>28</b:RefOrder>
  </b:Source>
  <b:Source>
    <b:Tag>Min17</b:Tag>
    <b:SourceType>Book</b:SourceType>
    <b:Guid>{EACE8C2F-D6D1-43CF-8F54-D895CFF0D790}</b:Guid>
    <b:Title>Currículo Nacional de la Educación Básica</b:Title>
    <b:Year>2017</b:Year>
    <b:Author>
      <b:Author>
        <b:Corporate>Minedu</b:Corporate>
      </b:Author>
    </b:Author>
    <b:Publisher>Estado peruano</b:Publisher>
    <b:City>Lima</b:City>
    <b:URL>http://www.minedu.gob.pe/curriculo/</b:URL>
    <b:RefOrder>29</b:RefOrder>
  </b:Source>
  <b:Source>
    <b:Tag>Her21</b:Tag>
    <b:SourceType>JournalArticle</b:SourceType>
    <b:Guid>{9C5C341A-DE9F-42F5-8E47-AF03E6C0FCF2}</b:Guid>
    <b:Title>El vínculo de la historia local a la historia regional y nacional. Experiencias en su enseñanza</b:Title>
    <b:JournalName>Scielo</b:JournalName>
    <b:Year>2021</b:Year>
    <b:Author>
      <b:Author>
        <b:NameList>
          <b:Person>
            <b:Last>Hernández</b:Last>
            <b:First>Juan</b:First>
            <b:Middle>Carlos</b:Middle>
          </b:Person>
          <b:Person>
            <b:Last>Reinoso</b:Last>
            <b:First>Isabel</b:First>
          </b:Person>
        </b:NameList>
      </b:Author>
    </b:Author>
    <b:Month>agosto</b:Month>
    <b:Day>02</b:Day>
    <b:Volume>19</b:Volume>
    <b:Issue>3</b:Issue>
    <b:URL>http://scielo.sld.cu/scielo.php?script=sci_arttext&amp;pid=S1815-76962021000300821</b:URL>
    <b:DOI>http://orcid.org/0000-0003-4468-2253</b:DOI>
    <b:RefOrder>32</b:RefOrder>
  </b:Source>
  <b:Source>
    <b:Tag>Her10</b:Tag>
    <b:SourceType>Book</b:SourceType>
    <b:Guid>{F7D3358B-7A84-4ADC-80B9-B9C4E3CC975E}</b:Guid>
    <b:Title>Metodologia de la investigación científica</b:Title>
    <b:Year>2021</b:Year>
    <b:City>México</b:City>
    <b:Publisher>Mexicana</b:Publisher>
    <b:Edition>Quinta</b:Edition>
    <b:Author>
      <b:Author>
        <b:NameList>
          <b:Person>
            <b:Last>Huaman</b:Last>
            <b:Middle>Javier</b:Middle>
            <b:First>Elio</b:First>
          </b:Person>
          <b:Person>
            <b:Last>Anicama</b:Last>
            <b:Middle>Alina</b:Middle>
            <b:First>Evelyn</b:First>
          </b:Person>
          <b:Person>
            <b:Last>González</b:Last>
            <b:Middle>Lorenzo</b:Middle>
            <b:First>Edmundo</b:First>
          </b:Person>
          <b:Person>
            <b:Last>Félix</b:Last>
            <b:Middle>Luzmila</b:Middle>
            <b:First>Hilda</b:First>
          </b:Person>
          <b:Person>
            <b:Last>Chu</b:Last>
            <b:Middle>Esteban</b:Middle>
            <b:First>Willian</b:First>
          </b:Person>
        </b:NameList>
      </b:Author>
    </b:Author>
    <b:URL>https://repositorio.autonomadeica.edu.pe/bitstream/20.500.14441/2558/2/METODOLOGIA%20DE%20LA%20INVESTIGACI%C3%93N%20CIENTIFICA.pdf</b:URL>
    <b:RefOrder>45</b:RefOrder>
  </b:Source>
  <b:Source>
    <b:Tag>Her231</b:Tag>
    <b:SourceType>Book</b:SourceType>
    <b:Guid>{65C6E2FA-787C-4F75-A6CC-D6800D338C3D}</b:Guid>
    <b:Title>Metodología de la Investigación. Las Rutas Cuantitativa, Cualitativa y Mixta</b:Title>
    <b:Year>2023</b:Year>
    <b:Publisher>Mc Graw Hil</b:Publisher>
    <b:DOI>https://www.buscalibre.pe/libro-metodologia-de-la-investigacion-las-rutas-cuantitativa-cualitativa-y-mixta/9786071520319/p/55568843?srsltid=AfmBOooXFuipSd2EVhI63BcbZl_ZiaCCnkmbQhjsQlZl39he-XBXnmqP#</b:DOI>
    <b:Author>
      <b:Author>
        <b:NameList>
          <b:Person>
            <b:Last>Hernández</b:Last>
            <b:First>Roberto</b:First>
          </b:Person>
          <b:Person>
            <b:Last>Mendoza</b:Last>
            <b:Middle>Paulina</b:Middle>
            <b:First>Christian</b:First>
          </b:Person>
        </b:NameList>
      </b:Author>
    </b:Author>
    <b:RefOrder>46</b:RefOrder>
  </b:Source>
  <b:Source>
    <b:Tag>MarcadorDePosición1</b:Tag>
    <b:SourceType>JournalArticle</b:SourceType>
    <b:Guid>{549F4A34-4483-49CA-B620-65C219BD5C58}</b:Guid>
    <b:Title>Fortalecimiento de la identidad cultural en la Educación Básica Regular</b:Title>
    <b:Year>2021</b:Year>
    <b:Pages>47-58</b:Pages>
    <b:JournalName>Educare et Comunicare</b:JournalName>
    <b:Author>
      <b:Author>
        <b:NameList>
          <b:Person>
            <b:Last>Tesén </b:Last>
            <b:First>Jorge</b:First>
          </b:Person>
          <b:Person>
            <b:Last>Ramírez</b:Last>
            <b:First>Jesús</b:First>
          </b:Person>
        </b:NameList>
      </b:Author>
    </b:Author>
    <b:Volume>9</b:Volume>
    <b:Issue>1</b:Issue>
    <b:DOI>10.35383/educare.v9i1.600</b:DOI>
    <b:RefOrder>47</b:RefOrder>
  </b:Source>
  <b:Source>
    <b:Tag>MarcadorDePosición3</b:Tag>
    <b:SourceType>JournalArticle</b:SourceType>
    <b:Guid>{2BBC2988-86BA-485E-97BA-7E0BE643865F}</b:Guid>
    <b:Title>Sobre la construcción de la identidad en las prácticas culturales</b:Title>
    <b:JournalName>Estudis literaris</b:JournalName>
    <b:Year>2018</b:Year>
    <b:Pages>23-42</b:Pages>
    <b:Author>
      <b:Author>
        <b:NameList>
          <b:Person>
            <b:Last>Saldaña</b:Last>
            <b:First>Alfredo</b:First>
          </b:Person>
        </b:NameList>
      </b:Author>
    </b:Author>
    <b:RefOrder>48</b:RefOrder>
  </b:Source>
  <b:Source>
    <b:Tag>Dua20</b:Tag>
    <b:SourceType>JournalArticle</b:SourceType>
    <b:Guid>{202966C1-A3B6-45AB-A6DD-ACD9FE6AD3B0}</b:Guid>
    <b:Title>La Escuela Primaria Cuauhtémoc, una escuela eficaz en el centro de la comunidad El Bethí, Hidalgo, México</b:Title>
    <b:Year>2021</b:Year>
    <b:JournalName>Diálogos sobre educación. Temas actuales en investigación educativa</b:JournalName>
    <b:Pages>1- 23</b:Pages>
    <b:Author>
      <b:Author>
        <b:NameList>
          <b:Person>
            <b:Last>Duarte</b:Last>
            <b:Middle>María</b:Middle>
            <b:First>José</b:First>
          </b:Person>
          <b:Person>
            <b:Last>Valenti</b:Last>
            <b:First>Giovanna</b:First>
          </b:Person>
        </b:NameList>
      </b:Author>
    </b:Author>
    <b:Volume>12</b:Volume>
    <b:Issue>23</b:Issue>
    <b:DOI>https://doi.org/10.32870/dse.v0i23.798</b:DOI>
    <b:RefOrder>27</b:RefOrder>
  </b:Source>
  <b:Source>
    <b:Tag>Fer10</b:Tag>
    <b:SourceType>Book</b:SourceType>
    <b:Guid>{CDC21EE5-EE1C-42B6-8ACE-47C60E3E04A5}</b:Guid>
    <b:Title>Metodología de la investigación</b:Title>
    <b:Year>2010</b:Year>
    <b:Publisher>Pearson</b:Publisher>
    <b:Author>
      <b:Author>
        <b:NameList>
          <b:Person>
            <b:Last>Fernández</b:Last>
            <b:First>Orlando</b:First>
          </b:Person>
        </b:NameList>
      </b:Author>
    </b:Author>
    <b:URL>https://abacoenred.com/wp-content/uploads/2019/02/El-proyecto-de-investigaci%C3%B3n-F.G.-Arias-2012-pdf.pdf</b:URL>
    <b:RefOrder>33</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9B1226-60E7-4B98-A63C-A7751B3A9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12831</Words>
  <Characters>70574</Characters>
  <Application>Microsoft Office Word</Application>
  <DocSecurity>0</DocSecurity>
  <Lines>588</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Neptali Antony Reyes Cabrera</dc:creator>
  <cp:lastModifiedBy>Daniel</cp:lastModifiedBy>
  <cp:revision>5</cp:revision>
  <cp:lastPrinted>2025-09-26T23:51:00Z</cp:lastPrinted>
  <dcterms:created xsi:type="dcterms:W3CDTF">2026-09-30T05:46:00Z</dcterms:created>
  <dcterms:modified xsi:type="dcterms:W3CDTF">2026-10-01T01:53:00Z</dcterms:modified>
</cp:coreProperties>
</file>